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58240" behindDoc="0" locked="0" layoutInCell="1" allowOverlap="1">
            <wp:simplePos x="0" y="0"/>
            <wp:positionH relativeFrom="column">
              <wp:posOffset>-1160145</wp:posOffset>
            </wp:positionH>
            <wp:positionV relativeFrom="paragraph">
              <wp:posOffset>-1162685</wp:posOffset>
            </wp:positionV>
            <wp:extent cx="7612380" cy="10765155"/>
            <wp:effectExtent l="0" t="0" r="7620" b="17145"/>
            <wp:wrapSquare wrapText="bothSides"/>
            <wp:docPr id="2" name="图片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
                    <pic:cNvPicPr>
                      <a:picLocks noChangeAspect="1"/>
                    </pic:cNvPicPr>
                  </pic:nvPicPr>
                  <pic:blipFill>
                    <a:blip r:embed="rId6"/>
                    <a:stretch>
                      <a:fillRect/>
                    </a:stretch>
                  </pic:blipFill>
                  <pic:spPr>
                    <a:xfrm>
                      <a:off x="0" y="0"/>
                      <a:ext cx="7612380" cy="10765155"/>
                    </a:xfrm>
                    <a:prstGeom prst="rect">
                      <a:avLst/>
                    </a:prstGeom>
                  </pic:spPr>
                </pic:pic>
              </a:graphicData>
            </a:graphic>
          </wp:anchor>
        </w:drawing>
      </w:r>
      <w:r>
        <w:rPr>
          <w:rFonts w:hint="eastAsia" w:ascii="宋体" w:hAnsi="宋体" w:eastAsia="宋体" w:cs="宋体"/>
          <w:sz w:val="24"/>
          <w:szCs w:val="24"/>
          <w:lang w:eastAsia="zh-CN"/>
        </w:rPr>
        <w:br w:type="page"/>
      </w:r>
    </w:p>
    <w:sdt>
      <w:sdtPr>
        <w:rPr>
          <w:rFonts w:ascii="宋体" w:hAnsi="宋体" w:eastAsia="宋体"/>
        </w:rPr>
        <w:id w:val="147462158"/>
        <w:docPartObj>
          <w:docPartGallery w:val="Table of Contents"/>
          <w:docPartUnique/>
        </w:docPartObj>
      </w:sdtPr>
      <w:sdtEndPr>
        <w:rPr>
          <w:rFonts w:hint="default" w:asciiTheme="minorHAnsi" w:hAnsiTheme="minorHAnsi" w:eastAsiaTheme="minorEastAsia"/>
          <w:b/>
          <w:sz w:val="24"/>
          <w:lang w:val="en-US"/>
        </w:rPr>
      </w:sdtEndPr>
      <w:sdtContent>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pPr>
            <w:pStyle w:val="8"/>
            <w:tabs>
              <w:tab w:val="right" w:leader="dot" w:pos="8296"/>
            </w:tabs>
            <w:spacing w:line="360" w:lineRule="auto"/>
            <w:rPr>
              <w:rFonts w:asciiTheme="minorEastAsia" w:hAnsi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"_Toc102659517" </w:instrText>
          </w:r>
          <w:r>
            <w:fldChar w:fldCharType="separate"/>
          </w:r>
          <w:r>
            <w:rPr>
              <w:rStyle w:val="15"/>
              <w:rFonts w:hint="eastAsia" w:cs="微软雅黑" w:asciiTheme="minorEastAsia" w:hAnsiTheme="minorEastAsia"/>
              <w:b/>
              <w:sz w:val="24"/>
            </w:rPr>
            <w:t>一、报告摘要</w:t>
          </w:r>
          <w:r>
            <w:rPr>
              <w:rFonts w:asciiTheme="minorEastAsia" w:hAnsiTheme="minorEastAsia"/>
              <w:sz w:val="24"/>
            </w:rPr>
            <w:tab/>
          </w:r>
          <w:r>
            <w:rPr>
              <w:rFonts w:asciiTheme="minorEastAsia" w:hAnsiTheme="minorEastAsia"/>
              <w:sz w:val="24"/>
            </w:rPr>
            <w:fldChar w:fldCharType="begin"/>
          </w:r>
          <w:r>
            <w:rPr>
              <w:rFonts w:asciiTheme="minorEastAsia" w:hAnsiTheme="minorEastAsia"/>
              <w:sz w:val="24"/>
            </w:rPr>
            <w:instrText xml:space="preserve"> PAGEREF _Toc102659517 \h </w:instrText>
          </w:r>
          <w:r>
            <w:rPr>
              <w:rFonts w:asciiTheme="minorEastAsia" w:hAnsiTheme="minorEastAsia"/>
              <w:sz w:val="24"/>
            </w:rPr>
            <w:fldChar w:fldCharType="separate"/>
          </w:r>
          <w:r>
            <w:rPr>
              <w:rFonts w:asciiTheme="minorEastAsia" w:hAnsiTheme="minorEastAsia"/>
              <w:sz w:val="24"/>
            </w:rPr>
            <w:t>3</w:t>
          </w:r>
          <w:r>
            <w:rPr>
              <w:rFonts w:asciiTheme="minorEastAsia" w:hAnsiTheme="minorEastAsia"/>
              <w:sz w:val="24"/>
            </w:rPr>
            <w:fldChar w:fldCharType="end"/>
          </w:r>
          <w:r>
            <w:rPr>
              <w:rFonts w:asciiTheme="minorEastAsia" w:hAnsiTheme="minorEastAsia"/>
              <w:sz w:val="24"/>
            </w:rPr>
            <w:fldChar w:fldCharType="end"/>
          </w:r>
        </w:p>
        <w:p>
          <w:pPr>
            <w:pStyle w:val="8"/>
            <w:tabs>
              <w:tab w:val="right" w:leader="dot" w:pos="8296"/>
            </w:tabs>
            <w:spacing w:line="360" w:lineRule="auto"/>
            <w:rPr>
              <w:sz w:val="24"/>
            </w:rPr>
          </w:pPr>
          <w:r>
            <w:fldChar w:fldCharType="begin"/>
          </w:r>
          <w:r>
            <w:instrText xml:space="preserve"> HYPERLINK \l "_Toc102659518" </w:instrText>
          </w:r>
          <w:r>
            <w:fldChar w:fldCharType="separate"/>
          </w:r>
          <w:r>
            <w:rPr>
              <w:rStyle w:val="15"/>
              <w:rFonts w:hint="eastAsia" w:cs="微软雅黑" w:asciiTheme="minorEastAsia" w:hAnsiTheme="minorEastAsia"/>
              <w:b/>
              <w:sz w:val="24"/>
            </w:rPr>
            <w:t>二、整体数据</w:t>
          </w:r>
          <w:r>
            <w:rPr>
              <w:rFonts w:asciiTheme="minorEastAsia" w:hAnsiTheme="minorEastAsia"/>
              <w:sz w:val="24"/>
            </w:rPr>
            <w:tab/>
          </w:r>
          <w:r>
            <w:rPr>
              <w:rFonts w:hint="eastAsia" w:asciiTheme="minorEastAsia" w:hAnsiTheme="minorEastAsia"/>
              <w:sz w:val="24"/>
              <w:lang w:val="en-US" w:eastAsia="zh-CN"/>
            </w:rPr>
            <w:t>4</w:t>
          </w:r>
          <w:r>
            <w:rPr>
              <w:rFonts w:asciiTheme="minorEastAsia" w:hAnsiTheme="minorEastAsia"/>
              <w:sz w:val="24"/>
            </w:rPr>
            <w:fldChar w:fldCharType="end"/>
          </w:r>
        </w:p>
        <w:p>
          <w:pPr>
            <w:pStyle w:val="8"/>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Style w:val="15"/>
              <w:rFonts w:hint="eastAsia" w:asciiTheme="minorEastAsia" w:hAnsiTheme="minorEastAsia" w:cstheme="minorEastAsia"/>
              <w:bCs/>
              <w:sz w:val="24"/>
            </w:rPr>
            <w:t>（一）投诉</w:t>
          </w:r>
          <w:r>
            <w:rPr>
              <w:rStyle w:val="15"/>
              <w:rFonts w:hint="eastAsia" w:asciiTheme="minorEastAsia" w:hAnsiTheme="minorEastAsia" w:cstheme="minorEastAsia"/>
              <w:bCs/>
              <w:sz w:val="24"/>
              <w:lang w:val="en-US" w:eastAsia="zh-CN"/>
            </w:rPr>
            <w:t>平台</w:t>
          </w:r>
          <w:r>
            <w:rPr>
              <w:rStyle w:val="15"/>
              <w:rFonts w:hint="eastAsia" w:asciiTheme="minorEastAsia" w:hAnsiTheme="minorEastAsia" w:cstheme="minorEastAsia"/>
              <w:bCs/>
              <w:sz w:val="24"/>
            </w:rPr>
            <w:t>分布</w:t>
          </w:r>
          <w:r>
            <w:rPr>
              <w:rFonts w:asciiTheme="minorEastAsia" w:hAnsiTheme="minorEastAsia"/>
              <w:sz w:val="24"/>
            </w:rPr>
            <w:tab/>
          </w:r>
          <w:r>
            <w:rPr>
              <w:rFonts w:hint="eastAsia" w:asciiTheme="minorEastAsia" w:hAnsiTheme="minorEastAsia"/>
              <w:sz w:val="24"/>
              <w:lang w:val="en-US" w:eastAsia="zh-CN"/>
            </w:rPr>
            <w:t>4</w:t>
          </w:r>
          <w:r>
            <w:rPr>
              <w:rFonts w:asciiTheme="minorEastAsia" w:hAnsiTheme="minorEastAsia"/>
              <w:sz w:val="24"/>
            </w:rPr>
            <w:fldChar w:fldCharType="end"/>
          </w:r>
        </w:p>
        <w:p>
          <w:pPr>
            <w:pStyle w:val="8"/>
            <w:tabs>
              <w:tab w:val="right" w:leader="dot" w:pos="8296"/>
            </w:tabs>
            <w:spacing w:line="360" w:lineRule="auto"/>
            <w:ind w:firstLine="420" w:firstLineChars="200"/>
            <w:rPr>
              <w:rFonts w:asciiTheme="minorEastAsia" w:hAnsiTheme="minorEastAsia"/>
              <w:sz w:val="24"/>
            </w:rPr>
          </w:pPr>
          <w:r>
            <w:fldChar w:fldCharType="begin"/>
          </w:r>
          <w:r>
            <w:instrText xml:space="preserve"> HYPERLINK \l "_Toc102659519" </w:instrText>
          </w:r>
          <w:r>
            <w:fldChar w:fldCharType="separate"/>
          </w:r>
          <w:r>
            <w:rPr>
              <w:rStyle w:val="15"/>
              <w:rFonts w:hint="eastAsia" w:asciiTheme="minorEastAsia" w:hAnsiTheme="minorEastAsia" w:cstheme="minorEastAsia"/>
              <w:bCs/>
              <w:sz w:val="24"/>
            </w:rPr>
            <w:t>（</w:t>
          </w:r>
          <w:r>
            <w:rPr>
              <w:rStyle w:val="15"/>
              <w:rFonts w:hint="eastAsia" w:asciiTheme="minorEastAsia" w:hAnsiTheme="minorEastAsia" w:cstheme="minorEastAsia"/>
              <w:bCs/>
              <w:sz w:val="24"/>
              <w:lang w:val="en-US" w:eastAsia="zh-CN"/>
            </w:rPr>
            <w:t>二</w:t>
          </w:r>
          <w:r>
            <w:rPr>
              <w:rStyle w:val="15"/>
              <w:rFonts w:hint="eastAsia" w:asciiTheme="minorEastAsia" w:hAnsiTheme="minorEastAsia" w:cstheme="minorEastAsia"/>
              <w:bCs/>
              <w:sz w:val="24"/>
            </w:rPr>
            <w:t>）投诉问题类型分布</w:t>
          </w:r>
          <w:r>
            <w:rPr>
              <w:rFonts w:asciiTheme="minorEastAsia" w:hAnsiTheme="minorEastAsia"/>
              <w:sz w:val="24"/>
            </w:rPr>
            <w:tab/>
          </w:r>
          <w:r>
            <w:rPr>
              <w:rFonts w:hint="eastAsia" w:asciiTheme="minorEastAsia" w:hAnsiTheme="minorEastAsia"/>
              <w:sz w:val="24"/>
              <w:lang w:val="en-US" w:eastAsia="zh-CN"/>
            </w:rPr>
            <w:t>5</w:t>
          </w:r>
          <w:r>
            <w:rPr>
              <w:rFonts w:asciiTheme="minorEastAsia" w:hAnsiTheme="minorEastAsia"/>
              <w:sz w:val="24"/>
            </w:rPr>
            <w:fldChar w:fldCharType="end"/>
          </w:r>
        </w:p>
        <w:p>
          <w:pPr>
            <w:pStyle w:val="9"/>
            <w:tabs>
              <w:tab w:val="right" w:leader="dot" w:pos="8296"/>
            </w:tabs>
            <w:spacing w:line="360" w:lineRule="auto"/>
            <w:rPr>
              <w:rFonts w:asciiTheme="minorEastAsia" w:hAnsiTheme="minorEastAsia"/>
            </w:rPr>
          </w:pPr>
          <w:r>
            <w:fldChar w:fldCharType="begin"/>
          </w:r>
          <w:r>
            <w:instrText xml:space="preserve"> HYPERLINK \l "_Toc102659521" </w:instrText>
          </w:r>
          <w:r>
            <w:fldChar w:fldCharType="separate"/>
          </w:r>
          <w:r>
            <w:rPr>
              <w:rStyle w:val="15"/>
              <w:rFonts w:hint="eastAsia" w:asciiTheme="minorEastAsia" w:hAnsiTheme="minorEastAsia" w:cstheme="minorEastAsia"/>
              <w:bCs/>
            </w:rPr>
            <w:t>（</w:t>
          </w:r>
          <w:r>
            <w:rPr>
              <w:rStyle w:val="15"/>
              <w:rFonts w:hint="eastAsia" w:asciiTheme="minorEastAsia" w:hAnsiTheme="minorEastAsia" w:cstheme="minorEastAsia"/>
              <w:bCs/>
              <w:lang w:val="en-US" w:eastAsia="zh-CN"/>
            </w:rPr>
            <w:t>三</w:t>
          </w:r>
          <w:r>
            <w:rPr>
              <w:rStyle w:val="15"/>
              <w:rFonts w:hint="eastAsia" w:asciiTheme="minorEastAsia" w:hAnsiTheme="minorEastAsia" w:cstheme="minorEastAsia"/>
              <w:bCs/>
            </w:rPr>
            <w:t>）投诉地区分布</w:t>
          </w:r>
          <w:r>
            <w:rPr>
              <w:rFonts w:asciiTheme="minorEastAsia" w:hAnsiTheme="minorEastAsia"/>
            </w:rPr>
            <w:tab/>
          </w:r>
          <w:r>
            <w:rPr>
              <w:rFonts w:hint="eastAsia" w:asciiTheme="minorEastAsia" w:hAnsiTheme="minorEastAsia"/>
              <w:lang w:val="en-US" w:eastAsia="zh-CN"/>
            </w:rPr>
            <w:t>6</w:t>
          </w:r>
          <w:r>
            <w:rPr>
              <w:rFonts w:asciiTheme="minorEastAsia" w:hAnsiTheme="minorEastAsia"/>
            </w:rPr>
            <w:fldChar w:fldCharType="end"/>
          </w:r>
        </w:p>
        <w:p>
          <w:pPr>
            <w:pStyle w:val="9"/>
            <w:tabs>
              <w:tab w:val="right" w:leader="dot" w:pos="8296"/>
            </w:tabs>
            <w:spacing w:line="360" w:lineRule="auto"/>
            <w:rPr>
              <w:rFonts w:asciiTheme="minorEastAsia" w:hAnsiTheme="minorEastAsia"/>
            </w:rPr>
          </w:pPr>
          <w:r>
            <w:fldChar w:fldCharType="begin"/>
          </w:r>
          <w:r>
            <w:instrText xml:space="preserve"> HYPERLINK \l "_Toc102659522" </w:instrText>
          </w:r>
          <w:r>
            <w:fldChar w:fldCharType="separate"/>
          </w:r>
          <w:r>
            <w:rPr>
              <w:rStyle w:val="15"/>
              <w:rFonts w:hint="eastAsia" w:asciiTheme="minorEastAsia" w:hAnsiTheme="minorEastAsia" w:cstheme="minorEastAsia"/>
              <w:bCs/>
            </w:rPr>
            <w:t>（</w:t>
          </w:r>
          <w:r>
            <w:rPr>
              <w:rStyle w:val="15"/>
              <w:rFonts w:hint="eastAsia" w:asciiTheme="minorEastAsia" w:hAnsiTheme="minorEastAsia" w:cstheme="minorEastAsia"/>
              <w:bCs/>
              <w:lang w:val="en-US" w:eastAsia="zh-CN"/>
            </w:rPr>
            <w:t>四</w:t>
          </w:r>
          <w:r>
            <w:rPr>
              <w:rStyle w:val="15"/>
              <w:rFonts w:hint="eastAsia" w:asciiTheme="minorEastAsia" w:hAnsiTheme="minorEastAsia" w:cstheme="minorEastAsia"/>
              <w:bCs/>
            </w:rPr>
            <w:t>）投诉</w:t>
          </w:r>
          <w:r>
            <w:rPr>
              <w:rStyle w:val="15"/>
              <w:rFonts w:hint="eastAsia" w:asciiTheme="minorEastAsia" w:hAnsiTheme="minorEastAsia" w:cstheme="minorEastAsia"/>
              <w:bCs/>
              <w:lang w:val="en-US" w:eastAsia="zh-CN"/>
            </w:rPr>
            <w:t>经营类目</w:t>
          </w:r>
          <w:r>
            <w:rPr>
              <w:rStyle w:val="15"/>
              <w:rFonts w:hint="eastAsia" w:asciiTheme="minorEastAsia" w:hAnsiTheme="minorEastAsia" w:cstheme="minorEastAsia"/>
              <w:bCs/>
            </w:rPr>
            <w:t>分布</w:t>
          </w:r>
          <w:r>
            <w:rPr>
              <w:rFonts w:asciiTheme="minorEastAsia" w:hAnsiTheme="minorEastAsia"/>
            </w:rPr>
            <w:tab/>
          </w:r>
          <w:r>
            <w:rPr>
              <w:rFonts w:hint="eastAsia" w:asciiTheme="minorEastAsia" w:hAnsiTheme="minorEastAsia"/>
              <w:lang w:val="en-US" w:eastAsia="zh-CN"/>
            </w:rPr>
            <w:t>7</w:t>
          </w:r>
          <w:r>
            <w:rPr>
              <w:rFonts w:asciiTheme="minorEastAsia" w:hAnsiTheme="minorEastAsia"/>
            </w:rPr>
            <w:fldChar w:fldCharType="end"/>
          </w:r>
        </w:p>
        <w:p>
          <w:pPr>
            <w:pStyle w:val="9"/>
            <w:tabs>
              <w:tab w:val="right" w:leader="dot" w:pos="8296"/>
            </w:tabs>
            <w:spacing w:line="360" w:lineRule="auto"/>
            <w:rPr>
              <w:rFonts w:asciiTheme="minorEastAsia" w:hAnsiTheme="minorEastAsia"/>
            </w:rPr>
          </w:pPr>
          <w:r>
            <w:fldChar w:fldCharType="begin"/>
          </w:r>
          <w:r>
            <w:instrText xml:space="preserve"> HYPERLINK \l "_Toc102659523" </w:instrText>
          </w:r>
          <w:r>
            <w:fldChar w:fldCharType="separate"/>
          </w:r>
          <w:r>
            <w:rPr>
              <w:rStyle w:val="15"/>
              <w:rFonts w:hint="eastAsia" w:asciiTheme="minorEastAsia" w:hAnsiTheme="minorEastAsia" w:cstheme="minorEastAsia"/>
              <w:bCs/>
            </w:rPr>
            <w:t>（</w:t>
          </w:r>
          <w:r>
            <w:rPr>
              <w:rStyle w:val="15"/>
              <w:rFonts w:hint="eastAsia" w:asciiTheme="minorEastAsia" w:hAnsiTheme="minorEastAsia" w:cstheme="minorEastAsia"/>
              <w:bCs/>
              <w:lang w:val="en-US" w:eastAsia="zh-CN"/>
            </w:rPr>
            <w:t>五</w:t>
          </w:r>
          <w:r>
            <w:rPr>
              <w:rStyle w:val="15"/>
              <w:rFonts w:hint="eastAsia" w:asciiTheme="minorEastAsia" w:hAnsiTheme="minorEastAsia" w:cstheme="minorEastAsia"/>
              <w:bCs/>
            </w:rPr>
            <w:t>）投诉金额区间分布</w:t>
          </w:r>
          <w:r>
            <w:rPr>
              <w:rFonts w:asciiTheme="minorEastAsia" w:hAnsiTheme="minorEastAsia"/>
            </w:rPr>
            <w:tab/>
          </w:r>
          <w:r>
            <w:rPr>
              <w:rFonts w:hint="eastAsia" w:asciiTheme="minorEastAsia" w:hAnsiTheme="minorEastAsia"/>
              <w:lang w:val="en-US" w:eastAsia="zh-CN"/>
            </w:rPr>
            <w:t>8</w:t>
          </w:r>
          <w:r>
            <w:rPr>
              <w:rFonts w:asciiTheme="minorEastAsia" w:hAnsiTheme="minorEastAsia"/>
            </w:rPr>
            <w:fldChar w:fldCharType="end"/>
          </w:r>
        </w:p>
        <w:p>
          <w:pPr>
            <w:pStyle w:val="9"/>
            <w:tabs>
              <w:tab w:val="right" w:leader="dot" w:pos="8296"/>
            </w:tabs>
            <w:spacing w:line="360" w:lineRule="auto"/>
            <w:rPr>
              <w:rFonts w:hint="eastAsia" w:asciiTheme="minorEastAsia" w:hAnsiTheme="minorEastAsia" w:eastAsiaTheme="minorEastAsia"/>
              <w:lang w:val="en-US" w:eastAsia="zh-CN"/>
            </w:rPr>
          </w:pPr>
          <w:r>
            <w:fldChar w:fldCharType="begin"/>
          </w:r>
          <w:r>
            <w:instrText xml:space="preserve"> HYPERLINK \l "_Toc102659522" </w:instrText>
          </w:r>
          <w:r>
            <w:fldChar w:fldCharType="separate"/>
          </w:r>
          <w:r>
            <w:rPr>
              <w:rStyle w:val="15"/>
              <w:rFonts w:hint="eastAsia" w:asciiTheme="minorEastAsia" w:hAnsiTheme="minorEastAsia" w:cstheme="minorEastAsia"/>
              <w:bCs/>
            </w:rPr>
            <w:t>（</w:t>
          </w:r>
          <w:r>
            <w:rPr>
              <w:rStyle w:val="15"/>
              <w:rFonts w:hint="eastAsia" w:asciiTheme="minorEastAsia" w:hAnsiTheme="minorEastAsia" w:cstheme="minorEastAsia"/>
              <w:bCs/>
              <w:lang w:val="en-US" w:eastAsia="zh-CN"/>
            </w:rPr>
            <w:t>六</w:t>
          </w:r>
          <w:r>
            <w:rPr>
              <w:rStyle w:val="15"/>
              <w:rFonts w:hint="eastAsia" w:asciiTheme="minorEastAsia" w:hAnsiTheme="minorEastAsia" w:cstheme="minorEastAsia"/>
              <w:bCs/>
            </w:rPr>
            <w:t>）投诉</w:t>
          </w:r>
          <w:r>
            <w:rPr>
              <w:rStyle w:val="15"/>
              <w:rFonts w:hint="eastAsia" w:asciiTheme="minorEastAsia" w:hAnsiTheme="minorEastAsia" w:cstheme="minorEastAsia"/>
              <w:bCs/>
              <w:lang w:val="en-US" w:eastAsia="zh-CN"/>
            </w:rPr>
            <w:t>商家</w:t>
          </w:r>
          <w:r>
            <w:rPr>
              <w:rStyle w:val="15"/>
              <w:rFonts w:hint="eastAsia" w:asciiTheme="minorEastAsia" w:hAnsiTheme="minorEastAsia" w:cstheme="minorEastAsia"/>
              <w:bCs/>
            </w:rPr>
            <w:t>性别分布</w:t>
          </w:r>
          <w:r>
            <w:rPr>
              <w:rFonts w:asciiTheme="minorEastAsia" w:hAnsiTheme="minorEastAsia"/>
            </w:rPr>
            <w:tab/>
          </w:r>
          <w:r>
            <w:rPr>
              <w:rFonts w:hint="eastAsia" w:asciiTheme="minorEastAsia" w:hAnsiTheme="minorEastAsia"/>
              <w:lang w:val="en-US" w:eastAsia="zh-CN"/>
            </w:rPr>
            <w:t>9</w:t>
          </w:r>
          <w:r>
            <w:rPr>
              <w:rFonts w:asciiTheme="minorEastAsia" w:hAnsiTheme="minorEastAsia"/>
            </w:rPr>
            <w:fldChar w:fldCharType="end"/>
          </w:r>
        </w:p>
        <w:p>
          <w:pPr>
            <w:pStyle w:val="8"/>
            <w:tabs>
              <w:tab w:val="right" w:leader="dot" w:pos="8296"/>
            </w:tabs>
            <w:spacing w:line="360" w:lineRule="auto"/>
            <w:rPr>
              <w:rFonts w:hint="eastAsia" w:asciiTheme="minorEastAsia" w:hAnsiTheme="minorEastAsia" w:eastAsiaTheme="minorEastAsia"/>
              <w:sz w:val="24"/>
              <w:lang w:val="en-US" w:eastAsia="zh-CN"/>
            </w:rPr>
          </w:pPr>
          <w:r>
            <w:fldChar w:fldCharType="begin"/>
          </w:r>
          <w:r>
            <w:instrText xml:space="preserve"> HYPERLINK \l "_Toc102659524" </w:instrText>
          </w:r>
          <w:r>
            <w:fldChar w:fldCharType="separate"/>
          </w:r>
          <w:r>
            <w:rPr>
              <w:rStyle w:val="15"/>
              <w:rFonts w:hint="eastAsia" w:cs="微软雅黑" w:asciiTheme="minorEastAsia" w:hAnsiTheme="minorEastAsia"/>
              <w:b/>
              <w:sz w:val="24"/>
            </w:rPr>
            <w:t>三、</w:t>
          </w:r>
          <w:r>
            <w:rPr>
              <w:rStyle w:val="15"/>
              <w:rFonts w:hint="eastAsia" w:cs="微软雅黑" w:asciiTheme="minorEastAsia" w:hAnsiTheme="minorEastAsia"/>
              <w:b/>
              <w:sz w:val="24"/>
              <w:lang w:val="en-US" w:eastAsia="zh-CN"/>
            </w:rPr>
            <w:t>十大</w:t>
          </w:r>
          <w:r>
            <w:rPr>
              <w:rStyle w:val="15"/>
              <w:rFonts w:hint="eastAsia" w:cs="微软雅黑" w:asciiTheme="minorEastAsia" w:hAnsiTheme="minorEastAsia"/>
              <w:b/>
              <w:sz w:val="24"/>
            </w:rPr>
            <w:t>典型案例</w:t>
          </w:r>
          <w:r>
            <w:rPr>
              <w:rFonts w:asciiTheme="minorEastAsia" w:hAnsiTheme="minorEastAsia"/>
              <w:sz w:val="24"/>
            </w:rPr>
            <w:tab/>
          </w:r>
          <w:r>
            <w:rPr>
              <w:rFonts w:hint="eastAsia" w:asciiTheme="minorEastAsia" w:hAnsiTheme="minorEastAsia"/>
              <w:sz w:val="24"/>
              <w:lang w:val="en-US" w:eastAsia="zh-CN"/>
            </w:rPr>
            <w:t>1</w:t>
          </w:r>
          <w:r>
            <w:rPr>
              <w:rFonts w:hint="eastAsia" w:asciiTheme="minorEastAsia" w:hAnsiTheme="minorEastAsia"/>
              <w:sz w:val="24"/>
            </w:rPr>
            <w:fldChar w:fldCharType="end"/>
          </w:r>
          <w:r>
            <w:rPr>
              <w:rFonts w:hint="eastAsia" w:asciiTheme="minorEastAsia" w:hAnsiTheme="minorEastAsia"/>
              <w:sz w:val="24"/>
              <w:lang w:val="en-US" w:eastAsia="zh-CN"/>
            </w:rPr>
            <w:t>0</w:t>
          </w:r>
        </w:p>
        <w:p>
          <w:pPr>
            <w:pStyle w:val="8"/>
            <w:tabs>
              <w:tab w:val="right" w:leader="dot" w:pos="8296"/>
            </w:tabs>
            <w:spacing w:line="360" w:lineRule="auto"/>
            <w:rPr>
              <w:rFonts w:hint="default" w:eastAsiaTheme="minorEastAsia"/>
              <w:sz w:val="24"/>
              <w:lang w:val="en-US" w:eastAsia="zh-CN"/>
            </w:rPr>
          </w:pPr>
          <w:r>
            <w:fldChar w:fldCharType="begin"/>
          </w:r>
          <w:r>
            <w:instrText xml:space="preserve"> HYPERLINK \l "_Toc102659518" </w:instrText>
          </w:r>
          <w:r>
            <w:fldChar w:fldCharType="separate"/>
          </w:r>
          <w:r>
            <w:rPr>
              <w:rStyle w:val="15"/>
              <w:rFonts w:hint="eastAsia" w:cs="微软雅黑" w:asciiTheme="minorEastAsia" w:hAnsiTheme="minorEastAsia"/>
              <w:b/>
              <w:sz w:val="24"/>
            </w:rPr>
            <w:t>四、关于我们</w:t>
          </w:r>
          <w:r>
            <w:rPr>
              <w:rFonts w:asciiTheme="minorEastAsia" w:hAnsiTheme="minorEastAsia"/>
              <w:sz w:val="24"/>
            </w:rPr>
            <w:tab/>
          </w:r>
          <w:r>
            <w:rPr>
              <w:rFonts w:hint="eastAsia" w:asciiTheme="minorEastAsia" w:hAnsiTheme="minorEastAsia"/>
              <w:sz w:val="24"/>
            </w:rPr>
            <w:fldChar w:fldCharType="end"/>
          </w:r>
          <w:r>
            <w:rPr>
              <w:rFonts w:hint="eastAsia" w:asciiTheme="minorEastAsia" w:hAnsiTheme="minorEastAsia"/>
              <w:sz w:val="24"/>
              <w:lang w:val="en-US" w:eastAsia="zh-CN"/>
            </w:rPr>
            <w:t>16</w:t>
          </w:r>
        </w:p>
        <w:p>
          <w:pPr>
            <w:pStyle w:val="8"/>
            <w:tabs>
              <w:tab w:val="right" w:leader="dot" w:pos="8296"/>
            </w:tabs>
            <w:spacing w:line="360" w:lineRule="auto"/>
            <w:ind w:firstLine="420" w:firstLineChars="200"/>
            <w:rPr>
              <w:rFonts w:hint="eastAsia" w:eastAsiaTheme="minorEastAsia"/>
              <w:sz w:val="24"/>
              <w:lang w:val="en-US" w:eastAsia="zh-CN"/>
            </w:rPr>
          </w:pPr>
          <w:r>
            <w:fldChar w:fldCharType="begin"/>
          </w:r>
          <w:r>
            <w:instrText xml:space="preserve"> HYPERLINK \l "_Toc102659528" </w:instrText>
          </w:r>
          <w:r>
            <w:fldChar w:fldCharType="separate"/>
          </w:r>
          <w:r>
            <w:rPr>
              <w:rStyle w:val="15"/>
              <w:rFonts w:hint="eastAsia" w:asciiTheme="minorEastAsia" w:hAnsiTheme="minorEastAsia" w:cstheme="minorEastAsia"/>
              <w:sz w:val="24"/>
            </w:rPr>
            <w:t>（一）关于电诉宝</w:t>
          </w:r>
          <w:r>
            <w:rPr>
              <w:rFonts w:asciiTheme="minorEastAsia" w:hAnsiTheme="minorEastAsia"/>
              <w:sz w:val="24"/>
            </w:rPr>
            <w:tab/>
          </w:r>
          <w:r>
            <w:rPr>
              <w:rFonts w:hint="eastAsia" w:asciiTheme="minorEastAsia" w:hAnsiTheme="minorEastAsia"/>
              <w:sz w:val="24"/>
              <w:lang w:val="en-US" w:eastAsia="zh-CN"/>
            </w:rPr>
            <w:t>16</w:t>
          </w:r>
          <w:r>
            <w:rPr>
              <w:rFonts w:hint="eastAsia" w:asciiTheme="minorEastAsia" w:hAnsiTheme="minorEastAsia"/>
              <w:sz w:val="24"/>
            </w:rPr>
            <w:fldChar w:fldCharType="end"/>
          </w:r>
        </w:p>
        <w:p>
          <w:pPr>
            <w:pStyle w:val="8"/>
            <w:tabs>
              <w:tab w:val="right" w:leader="dot" w:pos="8296"/>
            </w:tabs>
            <w:spacing w:line="360" w:lineRule="auto"/>
            <w:ind w:firstLine="420" w:firstLineChars="200"/>
            <w:rPr>
              <w:rFonts w:hint="default"/>
              <w:sz w:val="24"/>
              <w:lang w:val="en-US"/>
            </w:rPr>
            <w:sectPr>
              <w:headerReference r:id="rId3" w:type="default"/>
              <w:footerReference r:id="rId4" w:type="default"/>
              <w:pgSz w:w="11906" w:h="16838"/>
              <w:pgMar w:top="1440" w:right="1800" w:bottom="1440" w:left="1800" w:header="851" w:footer="992" w:gutter="0"/>
              <w:cols w:space="425" w:num="1"/>
              <w:docGrid w:type="lines" w:linePitch="312" w:charSpace="0"/>
            </w:sectPr>
          </w:pPr>
          <w:r>
            <w:fldChar w:fldCharType="begin"/>
          </w:r>
          <w:r>
            <w:instrText xml:space="preserve"> HYPERLINK \l "_Toc102659529" </w:instrText>
          </w:r>
          <w:r>
            <w:fldChar w:fldCharType="separate"/>
          </w:r>
          <w:r>
            <w:rPr>
              <w:rStyle w:val="15"/>
              <w:rFonts w:hint="eastAsia" w:asciiTheme="minorEastAsia" w:hAnsiTheme="minorEastAsia" w:cstheme="minorEastAsia"/>
              <w:sz w:val="24"/>
            </w:rPr>
            <w:t>（二）关于网经社</w:t>
          </w:r>
          <w:r>
            <w:rPr>
              <w:rFonts w:asciiTheme="minorEastAsia" w:hAnsiTheme="minorEastAsia"/>
              <w:sz w:val="24"/>
            </w:rPr>
            <w:tab/>
          </w:r>
          <w:r>
            <w:rPr>
              <w:rFonts w:hint="eastAsia" w:asciiTheme="minorEastAsia" w:hAnsiTheme="minorEastAsia"/>
              <w:sz w:val="24"/>
              <w:lang w:val="en-US" w:eastAsia="zh-CN"/>
            </w:rPr>
            <w:t>1</w:t>
          </w:r>
          <w:r>
            <w:rPr>
              <w:rFonts w:hint="eastAsia" w:asciiTheme="minorEastAsia" w:hAnsiTheme="minorEastAsia"/>
              <w:sz w:val="24"/>
            </w:rPr>
            <w:fldChar w:fldCharType="end"/>
          </w:r>
          <w:r>
            <w:rPr>
              <w:rFonts w:hint="eastAsia" w:asciiTheme="minorEastAsia" w:hAnsiTheme="minorEastAsia" w:cstheme="minorEastAsia"/>
              <w:sz w:val="24"/>
            </w:rPr>
            <w:fldChar w:fldCharType="end"/>
          </w:r>
          <w:r>
            <w:rPr>
              <w:rFonts w:hint="eastAsia" w:asciiTheme="minorEastAsia" w:hAnsiTheme="minorEastAsia" w:cstheme="minorEastAsia"/>
              <w:sz w:val="24"/>
              <w:lang w:val="en-US" w:eastAsia="zh-CN"/>
            </w:rPr>
            <w:t>8</w:t>
          </w:r>
        </w:p>
      </w:sdtContent>
    </w:sdt>
    <w:p>
      <w:pPr>
        <w:pStyle w:val="2"/>
        <w:rPr>
          <w:rFonts w:ascii="微软雅黑" w:hAnsi="微软雅黑" w:eastAsia="微软雅黑" w:cs="微软雅黑"/>
          <w:sz w:val="32"/>
          <w:szCs w:val="32"/>
        </w:rPr>
      </w:pPr>
      <w:bookmarkStart w:id="0" w:name="_Toc3754"/>
      <w:bookmarkStart w:id="1" w:name="_Toc102659517"/>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bookmarkStart w:id="2" w:name="_Toc24811"/>
      <w:bookmarkStart w:id="3" w:name="_Toc30101"/>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2024年双11正式落幕，这届号称“史上最长的双11”开启于10月8日，在长达</w:t>
      </w:r>
      <w:r>
        <w:rPr>
          <w:rFonts w:hint="eastAsia" w:cstheme="minorBidi"/>
          <w:b w:val="0"/>
          <w:bCs w:val="0"/>
          <w:color w:val="000000" w:themeColor="text1"/>
          <w:kern w:val="2"/>
          <w:sz w:val="24"/>
          <w:szCs w:val="24"/>
          <w:lang w:val="en-US" w:eastAsia="zh-CN" w:bidi="ar-SA"/>
          <w14:textFill>
            <w14:solidFill>
              <w14:schemeClr w14:val="tx1"/>
            </w14:solidFill>
          </w14:textFill>
        </w:rPr>
        <w:t>3</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0余天的大促中，综合电商平台、直播电商平台累积销售额为14418亿元，同比去年增长26.6%。然而，在低价和服务的双重诱惑下，</w:t>
      </w:r>
      <w:r>
        <w:rPr>
          <w:rFonts w:hint="eastAsia" w:cstheme="minorBidi"/>
          <w:b w:val="0"/>
          <w:bCs w:val="0"/>
          <w:color w:val="000000" w:themeColor="text1"/>
          <w:kern w:val="2"/>
          <w:sz w:val="24"/>
          <w:szCs w:val="24"/>
          <w:lang w:val="en-US" w:eastAsia="zh-CN" w:bidi="ar-SA"/>
          <w14:textFill>
            <w14:solidFill>
              <w14:schemeClr w14:val="tx1"/>
            </w14:solidFill>
          </w14:textFill>
        </w:rPr>
        <w:t>网络</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消费的投诉也随之增多。</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如中国消费者协会发布《2024年“双11”消费</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"http://show.s.315.100ec.cn/"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维权</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舆情分析</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"http://www.100ec.cn/zt/bgk/"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报告</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显示，“双11”期间，在更多优惠、更充足的思考时间之下，翻车的直播、出问题的产品、麻烦的</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"http://www.100ec.cn/Index/complaintData.html"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售后</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、再度复杂的规则，消耗着消费者的信任。</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与此同时，围绕商家的投诉也在递增。双11期间，即使</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各大电商平台纷纷推出各种促销活动，如退货宝服务、零手续费极速回款、百亿补贴等，</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但商家的“抱怨声”依然存在。尤其是在女装领域，有女装店在社交平台透露，发出去的2000件衣服中，有1500件被退回，</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退货率高达75%。其中，很多退货理由是拍错尺码或者寄错包裹。据统计，女装已成为退货率最高的品类，特别是女装直播的退货率高达80%，有的商家退货率甚至高达90%。</w:t>
      </w:r>
    </w:p>
    <w:p>
      <w:pPr>
        <w:spacing w:beforeLines="50" w:line="360" w:lineRule="auto"/>
        <w:ind w:firstLine="480" w:firstLineChars="200"/>
        <w:jc w:val="left"/>
        <w:outlineLvl w:val="1"/>
        <w:rPr>
          <w:rFonts w:hint="default" w:ascii="宋体" w:hAnsi="宋体" w:eastAsia="宋体" w:cs="宋体"/>
          <w:sz w:val="24"/>
          <w:lang w:val="en-US" w:eastAsia="zh-CN"/>
        </w:rPr>
      </w:pPr>
      <w:r>
        <w:rPr>
          <w:rFonts w:hint="eastAsia" w:ascii="宋体" w:hAnsi="宋体" w:eastAsia="宋体" w:cs="宋体"/>
          <w:sz w:val="24"/>
          <w:lang w:val="en-US" w:eastAsia="zh-CN"/>
        </w:rPr>
        <w:t>在此背景下，2024年12月3日，依据国内知名网络</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"http://show.s.315.100ec.cn/"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消费</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"http://show.s.315.100ec.cn/"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纠纷</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"http://show.s.315.100ec.cn/"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调解</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平台“</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"http://show.s.315.100ec.cn/"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电诉宝</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”商家投诉通道（</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"http://315.100ec.cn/" \t "https://www.100ec.cn/_self"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JTK.100EC.CN</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）“双11期间”（网经社注：数据采集时间为10月-11月）受理的全国近20家电商平台2200余份商家投诉</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"http://www.100ec.cn/zt/anlk/"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案例</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，以及电商大数据库“电数宝”分析的</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"http://www.100ec.cn/Index/dsb_product.html"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数据</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，网经社电子商务</w:t>
      </w:r>
      <w:r>
        <w:rPr>
          <w:rFonts w:hint="eastAsia" w:ascii="宋体" w:hAnsi="宋体" w:eastAsia="宋体" w:cs="宋体"/>
          <w:sz w:val="24"/>
          <w:lang w:val="en-US" w:eastAsia="zh-CN"/>
        </w:rPr>
        <w:fldChar w:fldCharType="begin"/>
      </w:r>
      <w:r>
        <w:rPr>
          <w:rFonts w:hint="eastAsia" w:ascii="宋体" w:hAnsi="宋体" w:eastAsia="宋体" w:cs="宋体"/>
          <w:sz w:val="24"/>
          <w:lang w:val="en-US" w:eastAsia="zh-CN"/>
        </w:rPr>
        <w:instrText xml:space="preserve"> HYPERLINK "http://www.100ec.cn/zt/dszx/" \t "https://www.100ec.cn/_blank" </w:instrText>
      </w:r>
      <w:r>
        <w:rPr>
          <w:rFonts w:hint="eastAsia" w:ascii="宋体" w:hAnsi="宋体" w:eastAsia="宋体" w:cs="宋体"/>
          <w:sz w:val="24"/>
          <w:lang w:val="en-US" w:eastAsia="zh-CN"/>
        </w:rPr>
        <w:fldChar w:fldCharType="separate"/>
      </w:r>
      <w:r>
        <w:rPr>
          <w:rFonts w:hint="eastAsia" w:ascii="宋体" w:hAnsi="宋体" w:eastAsia="宋体" w:cs="宋体"/>
          <w:sz w:val="24"/>
          <w:lang w:val="en-US" w:eastAsia="zh-CN"/>
        </w:rPr>
        <w:t>研究</w:t>
      </w:r>
      <w:r>
        <w:rPr>
          <w:rFonts w:hint="eastAsia" w:ascii="宋体" w:hAnsi="宋体" w:eastAsia="宋体" w:cs="宋体"/>
          <w:sz w:val="24"/>
          <w:lang w:val="en-US" w:eastAsia="zh-CN"/>
        </w:rPr>
        <w:fldChar w:fldCharType="end"/>
      </w:r>
      <w:r>
        <w:rPr>
          <w:rFonts w:hint="eastAsia" w:ascii="宋体" w:hAnsi="宋体" w:eastAsia="宋体" w:cs="宋体"/>
          <w:sz w:val="24"/>
          <w:lang w:val="en-US" w:eastAsia="zh-CN"/>
        </w:rPr>
        <w:t>中心例行发布</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2024年</w:t>
      </w:r>
      <w:r>
        <w:rPr>
          <w:rFonts w:hint="eastAsia" w:ascii="宋体" w:hAnsi="宋体" w:eastAsia="宋体" w:cs="宋体"/>
          <w:b/>
          <w:bCs/>
          <w:sz w:val="24"/>
          <w:lang w:val="en-US" w:eastAsia="zh-CN"/>
        </w:rPr>
        <w:t>“双11期间”</w:t>
      </w:r>
      <w:r>
        <w:rPr>
          <w:rFonts w:hint="default" w:ascii="宋体" w:hAnsi="宋体" w:eastAsia="宋体" w:cs="宋体"/>
          <w:b/>
          <w:bCs/>
          <w:sz w:val="24"/>
          <w:lang w:val="en-US" w:eastAsia="zh-CN"/>
        </w:rPr>
        <w:t>中国电商平台商家投诉数据报告</w:t>
      </w:r>
      <w:r>
        <w:rPr>
          <w:rFonts w:hint="eastAsia" w:ascii="宋体" w:hAnsi="宋体" w:eastAsia="宋体" w:cs="宋体"/>
          <w:b/>
          <w:bCs/>
          <w:sz w:val="24"/>
          <w:lang w:val="en-US" w:eastAsia="zh-CN"/>
        </w:rPr>
        <w:t>》</w:t>
      </w:r>
      <w:r>
        <w:rPr>
          <w:rFonts w:hint="eastAsia" w:ascii="宋体" w:hAnsi="宋体" w:eastAsia="宋体" w:cs="宋体"/>
          <w:sz w:val="24"/>
          <w:lang w:val="en-US" w:eastAsia="zh-CN"/>
        </w:rPr>
        <w:t>。报告涉及了综合电商、直播电商、B2B、跨境电商、二手电商等领域，并公布了“双11期间”电商平台商家投诉数据及十大典型案例，通过这些投诉案例可窥见当前电商平台商家困境。</w:t>
      </w:r>
    </w:p>
    <w:p>
      <w:pPr>
        <w:spacing w:beforeLines="50" w:line="360" w:lineRule="auto"/>
        <w:ind w:firstLine="480" w:firstLineChars="200"/>
        <w:jc w:val="left"/>
        <w:outlineLvl w:val="1"/>
        <w:rPr>
          <w:rFonts w:hint="default" w:ascii="宋体" w:hAnsi="宋体" w:eastAsia="宋体" w:cs="宋体"/>
          <w:sz w:val="24"/>
          <w:lang w:val="en-US" w:eastAsia="zh-CN"/>
        </w:rPr>
      </w:pPr>
      <w:r>
        <w:rPr>
          <w:rFonts w:hint="eastAsia" w:ascii="宋体" w:hAnsi="宋体" w:eastAsia="宋体" w:cs="宋体"/>
          <w:sz w:val="24"/>
          <w:lang w:val="en-US" w:eastAsia="zh-CN"/>
        </w:rPr>
        <w:t>在今年</w:t>
      </w:r>
      <w:r>
        <w:rPr>
          <w:rFonts w:hint="default" w:ascii="宋体" w:hAnsi="宋体" w:eastAsia="宋体" w:cs="宋体"/>
          <w:sz w:val="24"/>
          <w:lang w:val="en-US" w:eastAsia="zh-CN"/>
        </w:rPr>
        <w:t>7月23日，国内知名网络</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"http://show.s.315.100ec.cn/"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消费</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"http://show.s.315.100ec.cn/"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纠纷</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"http://show.s.315.100ec.cn/"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调解</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平台</w:t>
      </w:r>
      <w:r>
        <w:rPr>
          <w:rFonts w:hint="eastAsia" w:ascii="宋体" w:hAnsi="宋体" w:eastAsia="宋体" w:cs="宋体"/>
          <w:sz w:val="24"/>
          <w:lang w:val="en-US" w:eastAsia="zh-CN"/>
        </w:rPr>
        <w:t>“</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"http://show.s.315.100ec.cn/"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电诉宝</w:t>
      </w:r>
      <w:r>
        <w:rPr>
          <w:rFonts w:hint="default" w:ascii="宋体" w:hAnsi="宋体" w:eastAsia="宋体" w:cs="宋体"/>
          <w:sz w:val="24"/>
          <w:lang w:val="en-US" w:eastAsia="zh-CN"/>
        </w:rPr>
        <w:fldChar w:fldCharType="end"/>
      </w:r>
      <w:r>
        <w:rPr>
          <w:rFonts w:hint="eastAsia" w:ascii="宋体" w:hAnsi="宋体" w:eastAsia="宋体" w:cs="宋体"/>
          <w:sz w:val="24"/>
          <w:lang w:val="en-US" w:eastAsia="zh-CN"/>
        </w:rPr>
        <w:t>”</w:t>
      </w:r>
      <w:r>
        <w:rPr>
          <w:rFonts w:hint="default" w:ascii="宋体" w:hAnsi="宋体" w:eastAsia="宋体" w:cs="宋体"/>
          <w:sz w:val="24"/>
          <w:lang w:val="en-US" w:eastAsia="zh-CN"/>
        </w:rPr>
        <w:t>（</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"http://315.100ec.cn/"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315.100EC.CN</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）联合网经社电子商务</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"http://www.100ec.cn/zt/dszx/"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研究</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中心发起</w:t>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"https://www.100ec.cn/zt/diansubao/" </w:instrText>
      </w:r>
      <w:r>
        <w:rPr>
          <w:rFonts w:hint="default" w:ascii="宋体" w:hAnsi="宋体" w:eastAsia="宋体" w:cs="宋体"/>
          <w:b/>
          <w:bCs/>
          <w:sz w:val="24"/>
          <w:lang w:val="en-US" w:eastAsia="zh-CN"/>
        </w:rPr>
        <w:fldChar w:fldCharType="separate"/>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电商平台</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仅退款</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调查行动</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fldChar w:fldCharType="end"/>
      </w:r>
      <w:r>
        <w:rPr>
          <w:rFonts w:hint="default" w:ascii="宋体" w:hAnsi="宋体" w:eastAsia="宋体" w:cs="宋体"/>
          <w:sz w:val="24"/>
          <w:lang w:val="en-US" w:eastAsia="zh-CN"/>
        </w:rPr>
        <w:t>，重点关注拼多多、京东、淘宝天猫、</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"https://www.100ec.cn/Index/complain_search.html?company=%E6%8A%96%E9%9F%B3"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抖音</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电商、快手电商、1688、</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"https://www.100ec.cn/Index/complain_search.html?company=%E5%B0%8F%E7%BA%A2%E4%B9%A6"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小红书</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等国内电商平台，以及</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"http://www.100ec.cn/zt/wmds/"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速卖通</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、Temu、</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"https://www.100ec.cn/Index/complain_search.html?company=%E4%BA%9A%E9%A9%AC%E9%80%8A" \t "https://www.100ec.cn/_blank"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亚马逊</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、SHEIN等</w:t>
      </w:r>
      <w:r>
        <w:rPr>
          <w:rFonts w:hint="default" w:ascii="宋体" w:hAnsi="宋体" w:eastAsia="宋体" w:cs="宋体"/>
          <w:sz w:val="24"/>
          <w:lang w:val="en-US" w:eastAsia="zh-CN"/>
        </w:rPr>
        <w:fldChar w:fldCharType="begin"/>
      </w:r>
      <w:r>
        <w:rPr>
          <w:rFonts w:hint="default" w:ascii="宋体" w:hAnsi="宋体" w:eastAsia="宋体" w:cs="宋体"/>
          <w:sz w:val="24"/>
          <w:lang w:val="en-US" w:eastAsia="zh-CN"/>
        </w:rPr>
        <w:instrText xml:space="preserve"> HYPERLINK "https://www.100ec.cn/crossBorder/" </w:instrText>
      </w:r>
      <w:r>
        <w:rPr>
          <w:rFonts w:hint="default" w:ascii="宋体" w:hAnsi="宋体" w:eastAsia="宋体" w:cs="宋体"/>
          <w:sz w:val="24"/>
          <w:lang w:val="en-US" w:eastAsia="zh-CN"/>
        </w:rPr>
        <w:fldChar w:fldCharType="separate"/>
      </w:r>
      <w:r>
        <w:rPr>
          <w:rFonts w:hint="default" w:ascii="宋体" w:hAnsi="宋体" w:eastAsia="宋体" w:cs="宋体"/>
          <w:sz w:val="24"/>
          <w:lang w:val="en-US" w:eastAsia="zh-CN"/>
        </w:rPr>
        <w:t>跨境电商</w:t>
      </w:r>
      <w:r>
        <w:rPr>
          <w:rFonts w:hint="default" w:ascii="宋体" w:hAnsi="宋体" w:eastAsia="宋体" w:cs="宋体"/>
          <w:sz w:val="24"/>
          <w:lang w:val="en-US" w:eastAsia="zh-CN"/>
        </w:rPr>
        <w:fldChar w:fldCharType="end"/>
      </w:r>
      <w:r>
        <w:rPr>
          <w:rFonts w:hint="default" w:ascii="宋体" w:hAnsi="宋体" w:eastAsia="宋体" w:cs="宋体"/>
          <w:sz w:val="24"/>
          <w:lang w:val="en-US" w:eastAsia="zh-CN"/>
        </w:rPr>
        <w:t>平台。</w:t>
      </w:r>
      <w:r>
        <w:rPr>
          <w:rFonts w:hint="eastAsia" w:ascii="宋体" w:hAnsi="宋体" w:eastAsia="宋体" w:cs="宋体"/>
          <w:sz w:val="24"/>
          <w:lang w:val="en-US" w:eastAsia="zh-CN"/>
        </w:rPr>
        <w:t>并于8月1日</w:t>
      </w:r>
      <w:r>
        <w:rPr>
          <w:rFonts w:hint="default" w:ascii="宋体" w:hAnsi="宋体" w:eastAsia="宋体" w:cs="宋体"/>
          <w:sz w:val="24"/>
          <w:lang w:val="en-US" w:eastAsia="zh-CN"/>
        </w:rPr>
        <w:t>上线国内首个</w:t>
      </w:r>
      <w:r>
        <w:rPr>
          <w:rFonts w:hint="default" w:ascii="宋体" w:hAnsi="宋体" w:eastAsia="宋体" w:cs="宋体"/>
          <w:b/>
          <w:bCs/>
          <w:sz w:val="24"/>
          <w:lang w:val="en-US" w:eastAsia="zh-CN"/>
        </w:rPr>
        <w:t>电商商家</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仅退款</w:t>
      </w:r>
      <w:r>
        <w:rPr>
          <w:rFonts w:hint="eastAsia" w:ascii="宋体" w:hAnsi="宋体" w:eastAsia="宋体" w:cs="宋体"/>
          <w:b/>
          <w:bCs/>
          <w:sz w:val="24"/>
          <w:lang w:val="en-US" w:eastAsia="zh-CN"/>
        </w:rPr>
        <w:t>”</w:t>
      </w:r>
      <w:r>
        <w:rPr>
          <w:rFonts w:hint="default" w:ascii="宋体" w:hAnsi="宋体" w:eastAsia="宋体" w:cs="宋体"/>
          <w:b/>
          <w:bCs/>
          <w:sz w:val="24"/>
          <w:lang w:val="en-US" w:eastAsia="zh-CN"/>
        </w:rPr>
        <w:t>第三方</w:t>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"http://show.s.315.100ec.cn/" \t "https://www.100ec.cn/_blank"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t>投诉</w:t>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t>通道（</w:t>
      </w:r>
      <w:r>
        <w:rPr>
          <w:rFonts w:hint="default" w:ascii="宋体" w:hAnsi="宋体" w:eastAsia="宋体" w:cs="宋体"/>
          <w:b/>
          <w:bCs/>
          <w:sz w:val="24"/>
          <w:lang w:val="en-US" w:eastAsia="zh-CN"/>
        </w:rPr>
        <w:fldChar w:fldCharType="begin"/>
      </w:r>
      <w:r>
        <w:rPr>
          <w:rFonts w:hint="default" w:ascii="宋体" w:hAnsi="宋体" w:eastAsia="宋体" w:cs="宋体"/>
          <w:b/>
          <w:bCs/>
          <w:sz w:val="24"/>
          <w:lang w:val="en-US" w:eastAsia="zh-CN"/>
        </w:rPr>
        <w:instrText xml:space="preserve"> HYPERLINK "http://jtk.100ec.cn/" \t "https://www.100ec.cn/_self" </w:instrText>
      </w:r>
      <w:r>
        <w:rPr>
          <w:rFonts w:hint="default" w:ascii="宋体" w:hAnsi="宋体" w:eastAsia="宋体" w:cs="宋体"/>
          <w:b/>
          <w:bCs/>
          <w:sz w:val="24"/>
          <w:lang w:val="en-US" w:eastAsia="zh-CN"/>
        </w:rPr>
        <w:fldChar w:fldCharType="separate"/>
      </w:r>
      <w:r>
        <w:rPr>
          <w:rFonts w:hint="default" w:ascii="宋体" w:hAnsi="宋体" w:eastAsia="宋体" w:cs="宋体"/>
          <w:b/>
          <w:bCs/>
          <w:sz w:val="24"/>
          <w:lang w:val="en-US" w:eastAsia="zh-CN"/>
        </w:rPr>
        <w:t>JTK.100EC.CN</w:t>
      </w:r>
      <w:r>
        <w:rPr>
          <w:rFonts w:hint="default" w:ascii="宋体" w:hAnsi="宋体" w:eastAsia="宋体" w:cs="宋体"/>
          <w:b/>
          <w:bCs/>
          <w:sz w:val="24"/>
          <w:lang w:val="en-US" w:eastAsia="zh-CN"/>
        </w:rPr>
        <w:fldChar w:fldCharType="end"/>
      </w:r>
      <w:r>
        <w:rPr>
          <w:rFonts w:hint="default" w:ascii="宋体" w:hAnsi="宋体" w:eastAsia="宋体" w:cs="宋体"/>
          <w:b/>
          <w:bCs/>
          <w:sz w:val="24"/>
          <w:lang w:val="en-US" w:eastAsia="zh-CN"/>
        </w:rPr>
        <w:t>）</w:t>
      </w:r>
      <w:r>
        <w:rPr>
          <w:rFonts w:hint="default" w:ascii="宋体" w:hAnsi="宋体" w:eastAsia="宋体" w:cs="宋体"/>
          <w:sz w:val="24"/>
          <w:lang w:val="en-US" w:eastAsia="zh-CN"/>
        </w:rPr>
        <w:t>，投诉通道持续开放中。</w:t>
      </w:r>
    </w:p>
    <w:p>
      <w:pPr>
        <w:spacing w:beforeLines="50" w:line="360" w:lineRule="auto"/>
        <w:ind w:firstLine="480" w:firstLineChars="200"/>
        <w:rPr>
          <w:rFonts w:hint="default" w:ascii="宋体" w:hAnsi="宋体" w:eastAsia="宋体" w:cs="宋体"/>
          <w:sz w:val="24"/>
          <w:lang w:val="en-US" w:eastAsia="zh-CN"/>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历时近一个半月的调查，于</w:t>
      </w:r>
      <w:r>
        <w:rPr>
          <w:rFonts w:hint="default" w:ascii="宋体" w:hAnsi="宋体" w:eastAsia="宋体" w:cs="宋体"/>
          <w:sz w:val="24"/>
          <w:lang w:val="en-US" w:eastAsia="zh-CN"/>
        </w:rPr>
        <w:t>9月4日</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发布</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《2024年电商平台</w:t>
      </w:r>
      <w:r>
        <w:rPr>
          <w:rFonts w:hint="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仅退款</w:t>
      </w:r>
      <w:r>
        <w:rPr>
          <w:rFonts w:hint="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调查</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instrText xml:space="preserve"> HYPERLINK "http://www.100ec.cn/zt/bgk/" </w:instrTex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报告</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（报告下载：</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"https://www.100ec.cn/zt/24jtk/"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www.100ec.cn/zt/24jtk/</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），《报告》汇聚</w:t>
      </w:r>
      <w:r>
        <w:rPr>
          <w:rFonts w:hint="default" w:ascii="宋体" w:hAnsi="宋体" w:eastAsia="宋体" w:cs="宋体"/>
          <w:sz w:val="24"/>
          <w:lang w:val="en-US" w:eastAsia="zh-CN"/>
        </w:rPr>
        <w:t>20余位电商行业专家、律师真知灼见，并收集了来自近2000位商家及1000位消费者的问卷反馈，揭露</w:t>
      </w:r>
      <w:r>
        <w:rPr>
          <w:rFonts w:hint="eastAsia" w:ascii="宋体" w:hAnsi="宋体" w:eastAsia="宋体" w:cs="宋体"/>
          <w:sz w:val="24"/>
          <w:lang w:val="en-US" w:eastAsia="zh-CN"/>
        </w:rPr>
        <w:t>“</w:t>
      </w:r>
      <w:r>
        <w:rPr>
          <w:rFonts w:hint="default" w:ascii="宋体" w:hAnsi="宋体" w:eastAsia="宋体" w:cs="宋体"/>
          <w:sz w:val="24"/>
          <w:lang w:val="en-US" w:eastAsia="zh-CN"/>
        </w:rPr>
        <w:t>仅退款</w:t>
      </w:r>
      <w:r>
        <w:rPr>
          <w:rFonts w:hint="eastAsia" w:ascii="宋体" w:hAnsi="宋体" w:eastAsia="宋体" w:cs="宋体"/>
          <w:sz w:val="24"/>
          <w:lang w:val="en-US" w:eastAsia="zh-CN"/>
        </w:rPr>
        <w:t>”</w:t>
      </w:r>
      <w:r>
        <w:rPr>
          <w:rFonts w:hint="default" w:ascii="宋体" w:hAnsi="宋体" w:eastAsia="宋体" w:cs="宋体"/>
          <w:sz w:val="24"/>
          <w:lang w:val="en-US" w:eastAsia="zh-CN"/>
        </w:rPr>
        <w:t>背后的真相。</w:t>
      </w:r>
    </w:p>
    <w:p>
      <w:pPr>
        <w:spacing w:beforeLines="50" w:line="360" w:lineRule="auto"/>
        <w:ind w:firstLine="480" w:firstLineChars="200"/>
        <w:jc w:val="left"/>
        <w:outlineLvl w:val="1"/>
        <w:rPr>
          <w:rFonts w:hint="eastAsia" w:ascii="宋体" w:hAnsi="宋体" w:eastAsia="宋体" w:cs="宋体"/>
          <w:sz w:val="24"/>
          <w:lang w:val="en-US" w:eastAsia="zh-CN"/>
        </w:rPr>
      </w:pPr>
    </w:p>
    <w:p>
      <w:pPr>
        <w:pStyle w:val="2"/>
        <w:rPr>
          <w:rFonts w:ascii="微软雅黑" w:hAnsi="微软雅黑" w:eastAsia="微软雅黑" w:cs="微软雅黑"/>
          <w:sz w:val="32"/>
          <w:szCs w:val="32"/>
        </w:rPr>
      </w:pPr>
      <w:bookmarkStart w:id="4" w:name="_Toc102659518"/>
      <w:r>
        <w:rPr>
          <w:rFonts w:hint="eastAsia" w:ascii="微软雅黑" w:hAnsi="微软雅黑" w:eastAsia="微软雅黑" w:cs="微软雅黑"/>
          <w:sz w:val="32"/>
          <w:szCs w:val="32"/>
        </w:rPr>
        <w:t>二、整体数据</w:t>
      </w:r>
      <w:bookmarkEnd w:id="4"/>
    </w:p>
    <w:bookmarkEnd w:id="2"/>
    <w:bookmarkEnd w:id="3"/>
    <w:p>
      <w:pPr>
        <w:pStyle w:val="3"/>
        <w:rPr>
          <w:rFonts w:hint="eastAsia"/>
        </w:rPr>
      </w:pPr>
      <w:bookmarkStart w:id="5" w:name="_Toc21630"/>
      <w:bookmarkStart w:id="6" w:name="_Toc102659519"/>
      <w:r>
        <w:rPr>
          <w:rFonts w:hint="eastAsia"/>
        </w:rPr>
        <w:t>（一）</w:t>
      </w:r>
      <w:bookmarkEnd w:id="5"/>
      <w:r>
        <w:rPr>
          <w:rFonts w:hint="eastAsia"/>
        </w:rPr>
        <w:t>投诉</w:t>
      </w:r>
      <w:r>
        <w:rPr>
          <w:rFonts w:hint="eastAsia"/>
          <w:lang w:val="en-US" w:eastAsia="zh-CN"/>
        </w:rPr>
        <w:t>平台</w:t>
      </w:r>
      <w:r>
        <w:rPr>
          <w:rFonts w:hint="eastAsia"/>
        </w:rPr>
        <w:t>分布</w:t>
      </w:r>
      <w:bookmarkEnd w:id="6"/>
    </w:p>
    <w:p>
      <w:pPr>
        <w:spacing w:beforeLines="50" w:line="360" w:lineRule="auto"/>
        <w:ind w:firstLine="480" w:firstLineChars="200"/>
        <w:jc w:val="left"/>
        <w:outlineLvl w:val="1"/>
        <w:rPr>
          <w:rFonts w:hint="default" w:ascii="宋体" w:hAnsi="宋体" w:eastAsia="宋体" w:cs="宋体"/>
          <w:sz w:val="24"/>
        </w:rPr>
      </w:pPr>
      <w:r>
        <w:rPr>
          <w:rFonts w:hint="eastAsia" w:ascii="宋体" w:hAnsi="宋体" w:eastAsia="宋体" w:cs="宋体"/>
          <w:sz w:val="24"/>
        </w:rPr>
        <w:t>据</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显示</w:t>
      </w:r>
      <w:r>
        <w:rPr>
          <w:rFonts w:hint="default" w:ascii="宋体" w:hAnsi="宋体" w:eastAsia="宋体" w:cs="宋体"/>
          <w:sz w:val="24"/>
        </w:rPr>
        <w:t>，</w:t>
      </w:r>
      <w:r>
        <w:rPr>
          <w:rFonts w:hint="eastAsia" w:ascii="宋体" w:hAnsi="宋体" w:eastAsia="宋体" w:cs="宋体"/>
          <w:sz w:val="24"/>
          <w:lang w:val="en-US" w:eastAsia="zh-CN"/>
        </w:rPr>
        <w:t>“双11期间”</w:t>
      </w:r>
      <w:r>
        <w:rPr>
          <w:rFonts w:hint="eastAsia" w:ascii="宋体" w:hAnsi="宋体" w:eastAsia="宋体" w:cs="宋体"/>
          <w:b/>
          <w:bCs/>
          <w:sz w:val="24"/>
          <w:lang w:val="en-US" w:eastAsia="zh-CN"/>
        </w:rPr>
        <w:t>拼多多</w:t>
      </w:r>
      <w:r>
        <w:rPr>
          <w:rFonts w:hint="default" w:ascii="宋体" w:hAnsi="宋体" w:eastAsia="宋体" w:cs="宋体"/>
          <w:sz w:val="24"/>
        </w:rPr>
        <w:t>收到的投诉数量最多，占比为</w:t>
      </w:r>
      <w:r>
        <w:rPr>
          <w:rFonts w:hint="eastAsia" w:ascii="宋体" w:hAnsi="宋体" w:eastAsia="宋体" w:cs="宋体"/>
          <w:b/>
          <w:bCs/>
          <w:sz w:val="24"/>
          <w:lang w:val="en-US" w:eastAsia="zh-CN"/>
        </w:rPr>
        <w:t>38.38</w:t>
      </w:r>
      <w:r>
        <w:rPr>
          <w:rFonts w:hint="default" w:ascii="宋体" w:hAnsi="宋体" w:eastAsia="宋体" w:cs="宋体"/>
          <w:b/>
          <w:bCs/>
          <w:sz w:val="24"/>
        </w:rPr>
        <w:t>%</w:t>
      </w:r>
      <w:r>
        <w:rPr>
          <w:rFonts w:hint="default" w:ascii="宋体" w:hAnsi="宋体" w:eastAsia="宋体" w:cs="宋体"/>
          <w:sz w:val="24"/>
        </w:rPr>
        <w:t>，其余依次为：</w:t>
      </w:r>
      <w:r>
        <w:rPr>
          <w:rFonts w:hint="default" w:ascii="宋体" w:hAnsi="宋体" w:eastAsia="宋体" w:cs="宋体"/>
          <w:b w:val="0"/>
          <w:bCs w:val="0"/>
          <w:sz w:val="24"/>
        </w:rPr>
        <w:t>抖音电商（</w:t>
      </w:r>
      <w:r>
        <w:rPr>
          <w:rFonts w:hint="eastAsia" w:ascii="宋体" w:hAnsi="宋体" w:eastAsia="宋体" w:cs="宋体"/>
          <w:b w:val="0"/>
          <w:bCs w:val="0"/>
          <w:sz w:val="24"/>
          <w:lang w:val="en-US" w:eastAsia="zh-CN"/>
        </w:rPr>
        <w:t>32.86</w:t>
      </w:r>
      <w:r>
        <w:rPr>
          <w:rFonts w:hint="default" w:ascii="宋体" w:hAnsi="宋体" w:eastAsia="宋体" w:cs="宋体"/>
          <w:b w:val="0"/>
          <w:bCs w:val="0"/>
          <w:sz w:val="24"/>
        </w:rPr>
        <w:t>%）、淘宝（2</w:t>
      </w:r>
      <w:r>
        <w:rPr>
          <w:rFonts w:hint="eastAsia" w:ascii="宋体" w:hAnsi="宋体" w:eastAsia="宋体" w:cs="宋体"/>
          <w:b w:val="0"/>
          <w:bCs w:val="0"/>
          <w:sz w:val="24"/>
          <w:lang w:val="en-US" w:eastAsia="zh-CN"/>
        </w:rPr>
        <w:t>1.45</w:t>
      </w:r>
      <w:r>
        <w:rPr>
          <w:rFonts w:hint="default" w:ascii="宋体" w:hAnsi="宋体" w:eastAsia="宋体" w:cs="宋体"/>
          <w:b w:val="0"/>
          <w:bCs w:val="0"/>
          <w:sz w:val="24"/>
        </w:rPr>
        <w:t>%）</w:t>
      </w:r>
      <w:r>
        <w:rPr>
          <w:rFonts w:hint="default" w:ascii="宋体" w:hAnsi="宋体" w:eastAsia="宋体" w:cs="宋体"/>
          <w:b w:val="0"/>
          <w:bCs w:val="0"/>
          <w:sz w:val="24"/>
        </w:rPr>
        <w:t>、京东（</w:t>
      </w:r>
      <w:r>
        <w:rPr>
          <w:rFonts w:hint="eastAsia" w:ascii="宋体" w:hAnsi="宋体" w:eastAsia="宋体" w:cs="宋体"/>
          <w:b w:val="0"/>
          <w:bCs w:val="0"/>
          <w:sz w:val="24"/>
          <w:lang w:val="en-US" w:eastAsia="zh-CN"/>
        </w:rPr>
        <w:t>0.97</w:t>
      </w:r>
      <w:r>
        <w:rPr>
          <w:rFonts w:hint="default" w:ascii="宋体" w:hAnsi="宋体" w:eastAsia="宋体" w:cs="宋体"/>
          <w:b w:val="0"/>
          <w:bCs w:val="0"/>
          <w:sz w:val="24"/>
        </w:rPr>
        <w:t>%）、</w:t>
      </w:r>
      <w:r>
        <w:rPr>
          <w:rFonts w:hint="default" w:ascii="宋体" w:hAnsi="宋体" w:eastAsia="宋体" w:cs="宋体"/>
          <w:sz w:val="24"/>
        </w:rPr>
        <w:t>天猫（0.</w:t>
      </w:r>
      <w:r>
        <w:rPr>
          <w:rFonts w:hint="eastAsia" w:ascii="宋体" w:hAnsi="宋体" w:eastAsia="宋体" w:cs="宋体"/>
          <w:sz w:val="24"/>
          <w:lang w:val="en-US" w:eastAsia="zh-CN"/>
        </w:rPr>
        <w:t>97</w:t>
      </w:r>
      <w:r>
        <w:rPr>
          <w:rFonts w:hint="default" w:ascii="宋体" w:hAnsi="宋体" w:eastAsia="宋体" w:cs="宋体"/>
          <w:sz w:val="24"/>
        </w:rPr>
        <w:t>%）、</w:t>
      </w:r>
      <w:r>
        <w:rPr>
          <w:rFonts w:hint="default" w:ascii="宋体" w:hAnsi="宋体" w:eastAsia="宋体" w:cs="宋体"/>
          <w:b w:val="0"/>
          <w:bCs w:val="0"/>
          <w:sz w:val="24"/>
        </w:rPr>
        <w:t>1688（</w:t>
      </w:r>
      <w:r>
        <w:rPr>
          <w:rFonts w:hint="eastAsia" w:ascii="宋体" w:hAnsi="宋体" w:eastAsia="宋体" w:cs="宋体"/>
          <w:b w:val="0"/>
          <w:bCs w:val="0"/>
          <w:sz w:val="24"/>
          <w:lang w:val="en-US" w:eastAsia="zh-CN"/>
        </w:rPr>
        <w:t>0.74</w:t>
      </w:r>
      <w:r>
        <w:rPr>
          <w:rFonts w:hint="default" w:ascii="宋体" w:hAnsi="宋体" w:eastAsia="宋体" w:cs="宋体"/>
          <w:b w:val="0"/>
          <w:bCs w:val="0"/>
          <w:sz w:val="24"/>
        </w:rPr>
        <w:t>%）、</w:t>
      </w:r>
      <w:r>
        <w:rPr>
          <w:rFonts w:hint="default" w:ascii="宋体" w:hAnsi="宋体" w:eastAsia="宋体" w:cs="宋体"/>
          <w:sz w:val="24"/>
        </w:rPr>
        <w:t>快手电商（0.</w:t>
      </w:r>
      <w:r>
        <w:rPr>
          <w:rFonts w:hint="eastAsia" w:ascii="宋体" w:hAnsi="宋体" w:eastAsia="宋体" w:cs="宋体"/>
          <w:sz w:val="24"/>
          <w:lang w:val="en-US" w:eastAsia="zh-CN"/>
        </w:rPr>
        <w:t>46</w:t>
      </w:r>
      <w:r>
        <w:rPr>
          <w:rFonts w:hint="default" w:ascii="宋体" w:hAnsi="宋体" w:eastAsia="宋体" w:cs="宋体"/>
          <w:sz w:val="24"/>
        </w:rPr>
        <w:t>%）、</w:t>
      </w:r>
      <w:r>
        <w:rPr>
          <w:rFonts w:hint="eastAsia" w:ascii="宋体" w:hAnsi="宋体" w:eastAsia="宋体" w:cs="宋体"/>
          <w:sz w:val="24"/>
          <w:lang w:val="en-US" w:eastAsia="zh-CN"/>
        </w:rPr>
        <w:t>全球</w:t>
      </w:r>
      <w:r>
        <w:rPr>
          <w:rFonts w:hint="default" w:ascii="宋体" w:hAnsi="宋体" w:eastAsia="宋体" w:cs="宋体"/>
          <w:sz w:val="24"/>
        </w:rPr>
        <w:t>速卖通（0.</w:t>
      </w:r>
      <w:r>
        <w:rPr>
          <w:rFonts w:hint="eastAsia" w:ascii="宋体" w:hAnsi="宋体" w:eastAsia="宋体" w:cs="宋体"/>
          <w:sz w:val="24"/>
          <w:lang w:val="en-US" w:eastAsia="zh-CN"/>
        </w:rPr>
        <w:t>41</w:t>
      </w:r>
      <w:r>
        <w:rPr>
          <w:rFonts w:hint="default" w:ascii="宋体" w:hAnsi="宋体" w:eastAsia="宋体" w:cs="宋体"/>
          <w:sz w:val="24"/>
        </w:rPr>
        <w:t>%）、微信（0.2</w:t>
      </w:r>
      <w:r>
        <w:rPr>
          <w:rFonts w:hint="eastAsia" w:ascii="宋体" w:hAnsi="宋体" w:eastAsia="宋体" w:cs="宋体"/>
          <w:sz w:val="24"/>
          <w:lang w:val="en-US" w:eastAsia="zh-CN"/>
        </w:rPr>
        <w:t>8</w:t>
      </w:r>
      <w:r>
        <w:rPr>
          <w:rFonts w:hint="default" w:ascii="宋体" w:hAnsi="宋体" w:eastAsia="宋体" w:cs="宋体"/>
          <w:sz w:val="24"/>
        </w:rPr>
        <w:t>%）、闲鱼（0.</w:t>
      </w:r>
      <w:r>
        <w:rPr>
          <w:rFonts w:hint="eastAsia" w:ascii="宋体" w:hAnsi="宋体" w:eastAsia="宋体" w:cs="宋体"/>
          <w:sz w:val="24"/>
          <w:lang w:val="en-US" w:eastAsia="zh-CN"/>
        </w:rPr>
        <w:t>28</w:t>
      </w:r>
      <w:r>
        <w:rPr>
          <w:rFonts w:hint="default" w:ascii="宋体" w:hAnsi="宋体" w:eastAsia="宋体" w:cs="宋体"/>
          <w:sz w:val="24"/>
        </w:rPr>
        <w:t>%）、美团（0.</w:t>
      </w:r>
      <w:r>
        <w:rPr>
          <w:rFonts w:hint="eastAsia" w:ascii="宋体" w:hAnsi="宋体" w:eastAsia="宋体" w:cs="宋体"/>
          <w:sz w:val="24"/>
          <w:lang w:val="en-US" w:eastAsia="zh-CN"/>
        </w:rPr>
        <w:t>18</w:t>
      </w:r>
      <w:r>
        <w:rPr>
          <w:rFonts w:hint="default" w:ascii="宋体" w:hAnsi="宋体" w:eastAsia="宋体" w:cs="宋体"/>
          <w:sz w:val="24"/>
        </w:rPr>
        <w:t>%）、苏宁易购（0.1</w:t>
      </w:r>
      <w:r>
        <w:rPr>
          <w:rFonts w:hint="eastAsia" w:ascii="宋体" w:hAnsi="宋体" w:eastAsia="宋体" w:cs="宋体"/>
          <w:sz w:val="24"/>
          <w:lang w:val="en-US" w:eastAsia="zh-CN"/>
        </w:rPr>
        <w:t>8</w:t>
      </w:r>
      <w:r>
        <w:rPr>
          <w:rFonts w:hint="default" w:ascii="宋体" w:hAnsi="宋体" w:eastAsia="宋体" w:cs="宋体"/>
          <w:sz w:val="24"/>
        </w:rPr>
        <w:t>%）、</w:t>
      </w:r>
      <w:r>
        <w:rPr>
          <w:rFonts w:hint="eastAsia" w:ascii="宋体" w:hAnsi="宋体" w:eastAsia="宋体" w:cs="宋体"/>
          <w:sz w:val="24"/>
          <w:lang w:val="en-US" w:eastAsia="zh-CN"/>
        </w:rPr>
        <w:t>得物（0.14%）、视频号（0.14%）、饿了么（0.14%）、中免日上</w:t>
      </w:r>
      <w:r>
        <w:rPr>
          <w:rFonts w:hint="default" w:ascii="宋体" w:hAnsi="宋体" w:eastAsia="宋体" w:cs="宋体"/>
          <w:sz w:val="24"/>
        </w:rPr>
        <w:t>（0.</w:t>
      </w:r>
      <w:r>
        <w:rPr>
          <w:rFonts w:hint="eastAsia" w:ascii="宋体" w:hAnsi="宋体" w:eastAsia="宋体" w:cs="宋体"/>
          <w:sz w:val="24"/>
          <w:lang w:val="en-US" w:eastAsia="zh-CN"/>
        </w:rPr>
        <w:t>05</w:t>
      </w:r>
      <w:r>
        <w:rPr>
          <w:rFonts w:hint="default" w:ascii="宋体" w:hAnsi="宋体" w:eastAsia="宋体" w:cs="宋体"/>
          <w:sz w:val="24"/>
        </w:rPr>
        <w:t>%）</w:t>
      </w:r>
      <w:r>
        <w:rPr>
          <w:rFonts w:hint="eastAsia" w:ascii="宋体" w:hAnsi="宋体" w:eastAsia="宋体" w:cs="宋体"/>
          <w:sz w:val="24"/>
          <w:lang w:val="en-US" w:eastAsia="zh-CN"/>
        </w:rPr>
        <w:t>、</w:t>
      </w:r>
      <w:r>
        <w:rPr>
          <w:rFonts w:hint="default" w:ascii="宋体" w:hAnsi="宋体" w:eastAsia="宋体" w:cs="宋体"/>
          <w:sz w:val="24"/>
        </w:rPr>
        <w:t>亚马逊（0.</w:t>
      </w:r>
      <w:r>
        <w:rPr>
          <w:rFonts w:hint="eastAsia" w:ascii="宋体" w:hAnsi="宋体" w:eastAsia="宋体" w:cs="宋体"/>
          <w:sz w:val="24"/>
          <w:lang w:val="en-US" w:eastAsia="zh-CN"/>
        </w:rPr>
        <w:t>05</w:t>
      </w:r>
      <w:r>
        <w:rPr>
          <w:rFonts w:hint="default" w:ascii="宋体" w:hAnsi="宋体" w:eastAsia="宋体" w:cs="宋体"/>
          <w:sz w:val="24"/>
        </w:rPr>
        <w:t>%）、小红书（0.</w:t>
      </w:r>
      <w:r>
        <w:rPr>
          <w:rFonts w:hint="eastAsia" w:ascii="宋体" w:hAnsi="宋体" w:eastAsia="宋体" w:cs="宋体"/>
          <w:sz w:val="24"/>
          <w:lang w:val="en-US" w:eastAsia="zh-CN"/>
        </w:rPr>
        <w:t>05</w:t>
      </w:r>
      <w:r>
        <w:rPr>
          <w:rFonts w:hint="default" w:ascii="宋体" w:hAnsi="宋体" w:eastAsia="宋体" w:cs="宋体"/>
          <w:sz w:val="24"/>
        </w:rPr>
        <w:t>%）、</w:t>
      </w:r>
      <w:r>
        <w:rPr>
          <w:rFonts w:hint="eastAsia" w:ascii="宋体" w:hAnsi="宋体" w:eastAsia="宋体" w:cs="宋体"/>
          <w:sz w:val="24"/>
          <w:lang w:val="en-US" w:eastAsia="zh-CN"/>
        </w:rPr>
        <w:t>微信小程序</w:t>
      </w:r>
      <w:r>
        <w:rPr>
          <w:rFonts w:hint="default" w:ascii="宋体" w:hAnsi="宋体" w:eastAsia="宋体" w:cs="宋体"/>
          <w:sz w:val="24"/>
        </w:rPr>
        <w:t>（0.</w:t>
      </w:r>
      <w:r>
        <w:rPr>
          <w:rFonts w:hint="eastAsia" w:ascii="宋体" w:hAnsi="宋体" w:eastAsia="宋体" w:cs="宋体"/>
          <w:sz w:val="24"/>
          <w:lang w:val="en-US" w:eastAsia="zh-CN"/>
        </w:rPr>
        <w:t>05</w:t>
      </w:r>
      <w:r>
        <w:rPr>
          <w:rFonts w:hint="default" w:ascii="宋体" w:hAnsi="宋体" w:eastAsia="宋体" w:cs="宋体"/>
          <w:sz w:val="24"/>
        </w:rPr>
        <w:t>%）</w:t>
      </w:r>
      <w:r>
        <w:rPr>
          <w:rFonts w:hint="eastAsia" w:ascii="宋体" w:hAnsi="宋体" w:eastAsia="宋体" w:cs="宋体"/>
          <w:sz w:val="24"/>
          <w:lang w:val="en-US" w:eastAsia="zh-CN"/>
        </w:rPr>
        <w:t>、其他</w:t>
      </w:r>
      <w:r>
        <w:rPr>
          <w:rFonts w:hint="default" w:ascii="宋体" w:hAnsi="宋体" w:eastAsia="宋体" w:cs="宋体"/>
          <w:sz w:val="24"/>
        </w:rPr>
        <w:t>（</w:t>
      </w:r>
      <w:r>
        <w:rPr>
          <w:rFonts w:hint="eastAsia" w:ascii="宋体" w:hAnsi="宋体" w:eastAsia="宋体" w:cs="宋体"/>
          <w:sz w:val="24"/>
          <w:lang w:val="en-US" w:eastAsia="zh-CN"/>
        </w:rPr>
        <w:t>2.25</w:t>
      </w:r>
      <w:r>
        <w:rPr>
          <w:rFonts w:hint="default" w:ascii="宋体" w:hAnsi="宋体" w:eastAsia="宋体" w:cs="宋体"/>
          <w:sz w:val="24"/>
        </w:rPr>
        <w:t>%）。 </w:t>
      </w:r>
    </w:p>
    <w:p>
      <w:pPr>
        <w:spacing w:beforeLines="50" w:line="360" w:lineRule="auto"/>
        <w:jc w:val="left"/>
        <w:outlineLvl w:val="1"/>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271135" cy="4142740"/>
            <wp:effectExtent l="0" t="0" r="5715" b="10160"/>
            <wp:docPr id="13" name="图片 13" descr="表格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格3(1)"/>
                    <pic:cNvPicPr>
                      <a:picLocks noChangeAspect="1"/>
                    </pic:cNvPicPr>
                  </pic:nvPicPr>
                  <pic:blipFill>
                    <a:blip r:embed="rId7"/>
                    <a:stretch>
                      <a:fillRect/>
                    </a:stretch>
                  </pic:blipFill>
                  <pic:spPr>
                    <a:xfrm>
                      <a:off x="0" y="0"/>
                      <a:ext cx="5271135" cy="4142740"/>
                    </a:xfrm>
                    <a:prstGeom prst="rect">
                      <a:avLst/>
                    </a:prstGeom>
                  </pic:spPr>
                </pic:pic>
              </a:graphicData>
            </a:graphic>
          </wp:inline>
        </w:drawing>
      </w:r>
    </w:p>
    <w:p>
      <w:pPr>
        <w:pStyle w:val="3"/>
      </w:pPr>
      <w:r>
        <w:rPr>
          <w:rFonts w:hint="eastAsia"/>
        </w:rPr>
        <w:t>（</w:t>
      </w:r>
      <w:r>
        <w:rPr>
          <w:rFonts w:hint="eastAsia"/>
          <w:lang w:val="en-US" w:eastAsia="zh-CN"/>
        </w:rPr>
        <w:t>二</w:t>
      </w:r>
      <w:r>
        <w:rPr>
          <w:rFonts w:hint="eastAsia"/>
        </w:rPr>
        <w:t>）投诉问题类型分布</w:t>
      </w:r>
    </w:p>
    <w:p>
      <w:pPr>
        <w:spacing w:beforeLines="50" w:line="360" w:lineRule="auto"/>
        <w:ind w:firstLine="480" w:firstLineChars="200"/>
        <w:jc w:val="left"/>
        <w:outlineLvl w:val="1"/>
        <w:rPr>
          <w:rFonts w:hint="default" w:ascii="宋体" w:hAnsi="宋体" w:eastAsia="宋体" w:cs="宋体"/>
          <w:b/>
          <w:bCs/>
          <w:color w:val="000000"/>
          <w:sz w:val="24"/>
          <w:lang w:val="en-US" w:eastAsia="zh-CN"/>
        </w:rPr>
      </w:pPr>
      <w:r>
        <w:rPr>
          <w:rFonts w:hint="eastAsia" w:ascii="宋体" w:hAnsi="宋体" w:eastAsia="宋体" w:cs="宋体"/>
          <w:sz w:val="24"/>
        </w:rPr>
        <w:t>据</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显示，202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“双11期间”</w:t>
      </w:r>
      <w:r>
        <w:rPr>
          <w:rFonts w:hint="eastAsia" w:ascii="宋体" w:hAnsi="宋体" w:eastAsia="宋体" w:cs="宋体"/>
          <w:sz w:val="24"/>
        </w:rPr>
        <w:t>全国</w:t>
      </w:r>
      <w:r>
        <w:rPr>
          <w:rFonts w:hint="eastAsia" w:ascii="宋体" w:hAnsi="宋体" w:eastAsia="宋体" w:cs="宋体"/>
          <w:sz w:val="24"/>
          <w:lang w:val="en-US" w:eastAsia="zh-CN"/>
        </w:rPr>
        <w:t>电商平台商家</w:t>
      </w:r>
      <w:r>
        <w:rPr>
          <w:rFonts w:hint="eastAsia" w:ascii="宋体" w:hAnsi="宋体" w:eastAsia="宋体" w:cs="宋体"/>
          <w:sz w:val="24"/>
        </w:rPr>
        <w:t>投诉问题</w:t>
      </w:r>
      <w:r>
        <w:rPr>
          <w:rFonts w:hint="eastAsia" w:ascii="宋体" w:hAnsi="宋体" w:cs="宋体"/>
          <w:sz w:val="24"/>
          <w:lang w:val="en-US" w:eastAsia="zh-CN"/>
        </w:rPr>
        <w:t>主要集中在这七项</w:t>
      </w:r>
      <w:r>
        <w:rPr>
          <w:rFonts w:hint="eastAsia" w:ascii="宋体" w:hAnsi="宋体" w:eastAsia="宋体" w:cs="宋体"/>
          <w:sz w:val="24"/>
        </w:rPr>
        <w:t>，</w:t>
      </w:r>
      <w:r>
        <w:rPr>
          <w:rFonts w:hint="eastAsia" w:ascii="宋体" w:hAnsi="宋体" w:cs="宋体"/>
          <w:sz w:val="24"/>
          <w:lang w:val="en-US" w:eastAsia="zh-CN"/>
        </w:rPr>
        <w:t>其中</w:t>
      </w:r>
      <w:r>
        <w:rPr>
          <w:rFonts w:hint="eastAsia" w:ascii="宋体" w:hAnsi="宋体" w:eastAsia="宋体" w:cs="宋体"/>
          <w:b/>
          <w:sz w:val="24"/>
          <w:lang w:val="en-US" w:eastAsia="zh-CN"/>
        </w:rPr>
        <w:t>任意仅退款</w:t>
      </w:r>
      <w:r>
        <w:rPr>
          <w:rFonts w:hint="eastAsia" w:ascii="宋体" w:hAnsi="宋体" w:eastAsia="宋体" w:cs="宋体"/>
          <w:sz w:val="24"/>
        </w:rPr>
        <w:t>占比高达</w:t>
      </w:r>
      <w:r>
        <w:rPr>
          <w:rFonts w:hint="eastAsia" w:ascii="宋体" w:hAnsi="宋体" w:eastAsia="宋体" w:cs="宋体"/>
          <w:b/>
          <w:sz w:val="24"/>
          <w:lang w:val="en-US" w:eastAsia="zh-CN"/>
        </w:rPr>
        <w:t>64.31%</w:t>
      </w:r>
      <w:r>
        <w:rPr>
          <w:rFonts w:hint="eastAsia" w:ascii="宋体" w:hAnsi="宋体" w:eastAsia="宋体" w:cs="宋体"/>
          <w:sz w:val="24"/>
        </w:rPr>
        <w:t>，</w:t>
      </w:r>
      <w:r>
        <w:rPr>
          <w:rFonts w:hint="eastAsia" w:ascii="宋体" w:hAnsi="宋体" w:eastAsia="宋体" w:cs="宋体"/>
          <w:sz w:val="24"/>
          <w:lang w:val="en-US" w:eastAsia="zh-CN"/>
        </w:rPr>
        <w:t>排在第一，环比10月份的</w:t>
      </w:r>
      <w:r>
        <w:rPr>
          <w:rFonts w:hint="eastAsia" w:ascii="宋体" w:hAnsi="宋体" w:eastAsia="宋体" w:cs="宋体"/>
          <w:sz w:val="24"/>
        </w:rPr>
        <w:t>62.02%</w:t>
      </w:r>
      <w:r>
        <w:rPr>
          <w:rFonts w:hint="eastAsia" w:ascii="宋体" w:hAnsi="宋体" w:eastAsia="宋体" w:cs="宋体"/>
          <w:sz w:val="24"/>
          <w:lang w:val="en-US" w:eastAsia="zh-CN"/>
        </w:rPr>
        <w:t>有所上升；</w:t>
      </w:r>
      <w:r>
        <w:rPr>
          <w:rFonts w:hint="eastAsia" w:ascii="宋体" w:hAnsi="宋体" w:eastAsia="宋体" w:cs="宋体"/>
          <w:sz w:val="24"/>
        </w:rPr>
        <w:t>其余问题类型依次为：</w:t>
      </w:r>
      <w:r>
        <w:rPr>
          <w:rFonts w:hint="eastAsia" w:ascii="宋体" w:hAnsi="宋体" w:eastAsia="宋体" w:cs="宋体"/>
          <w:b/>
          <w:bCs/>
          <w:sz w:val="24"/>
          <w:lang w:val="en-US" w:eastAsia="zh-CN"/>
        </w:rPr>
        <w:t>过度维护消费者</w:t>
      </w:r>
      <w:r>
        <w:rPr>
          <w:rFonts w:hint="eastAsia" w:ascii="宋体" w:hAnsi="宋体" w:eastAsia="宋体" w:cs="宋体"/>
          <w:sz w:val="24"/>
          <w:lang w:val="en-US" w:eastAsia="zh-CN"/>
        </w:rPr>
        <w:t>（13.16%）、</w:t>
      </w:r>
      <w:r>
        <w:rPr>
          <w:rFonts w:hint="eastAsia" w:ascii="宋体" w:hAnsi="宋体" w:eastAsia="宋体" w:cs="宋体"/>
          <w:b/>
          <w:bCs/>
          <w:sz w:val="24"/>
          <w:lang w:val="en-US" w:eastAsia="zh-CN"/>
        </w:rPr>
        <w:t>任意罚款</w:t>
      </w:r>
      <w:r>
        <w:rPr>
          <w:rFonts w:hint="eastAsia" w:ascii="宋体" w:hAnsi="宋体" w:eastAsia="宋体" w:cs="宋体"/>
          <w:sz w:val="24"/>
          <w:lang w:val="en-US" w:eastAsia="zh-CN"/>
        </w:rPr>
        <w:t>（7.20%）、</w:t>
      </w:r>
      <w:r>
        <w:rPr>
          <w:rFonts w:hint="eastAsia" w:ascii="宋体" w:hAnsi="宋体" w:eastAsia="宋体" w:cs="宋体"/>
          <w:b/>
          <w:bCs/>
          <w:sz w:val="24"/>
          <w:lang w:val="en-US" w:eastAsia="zh-CN"/>
        </w:rPr>
        <w:t>扣押保证金</w:t>
      </w:r>
      <w:r>
        <w:rPr>
          <w:rFonts w:hint="eastAsia" w:ascii="宋体" w:hAnsi="宋体" w:eastAsia="宋体" w:cs="宋体"/>
          <w:sz w:val="24"/>
          <w:lang w:val="en-US" w:eastAsia="zh-CN"/>
        </w:rPr>
        <w:t>（6.15%）、</w:t>
      </w:r>
      <w:r>
        <w:rPr>
          <w:rFonts w:hint="eastAsia" w:ascii="宋体" w:hAnsi="宋体" w:eastAsia="宋体" w:cs="宋体"/>
          <w:b/>
          <w:bCs/>
          <w:sz w:val="24"/>
          <w:lang w:val="en-US" w:eastAsia="zh-CN"/>
        </w:rPr>
        <w:t>随意封店</w:t>
      </w:r>
      <w:r>
        <w:rPr>
          <w:rFonts w:hint="eastAsia" w:ascii="宋体" w:hAnsi="宋体" w:eastAsia="宋体" w:cs="宋体"/>
          <w:sz w:val="24"/>
          <w:lang w:val="en-US" w:eastAsia="zh-CN"/>
        </w:rPr>
        <w:t>（1.33%）、</w:t>
      </w:r>
      <w:r>
        <w:rPr>
          <w:rFonts w:hint="eastAsia" w:ascii="宋体" w:hAnsi="宋体" w:eastAsia="宋体" w:cs="宋体"/>
          <w:b/>
          <w:bCs/>
          <w:sz w:val="24"/>
          <w:lang w:val="en-US" w:eastAsia="zh-CN"/>
        </w:rPr>
        <w:t>强制运费险</w:t>
      </w:r>
      <w:r>
        <w:rPr>
          <w:rFonts w:hint="eastAsia" w:ascii="宋体" w:hAnsi="宋体" w:eastAsia="宋体" w:cs="宋体"/>
          <w:sz w:val="24"/>
          <w:lang w:val="en-US" w:eastAsia="zh-CN"/>
        </w:rPr>
        <w:t>（0.78%）、</w:t>
      </w:r>
      <w:r>
        <w:rPr>
          <w:rFonts w:hint="eastAsia" w:ascii="宋体" w:hAnsi="宋体" w:eastAsia="宋体" w:cs="宋体"/>
          <w:b/>
          <w:bCs/>
          <w:sz w:val="24"/>
          <w:lang w:val="en-US" w:eastAsia="zh-CN"/>
        </w:rPr>
        <w:t>退款问题</w:t>
      </w:r>
      <w:r>
        <w:rPr>
          <w:rFonts w:hint="eastAsia" w:ascii="宋体" w:hAnsi="宋体" w:eastAsia="宋体" w:cs="宋体"/>
          <w:b w:val="0"/>
          <w:bCs w:val="0"/>
          <w:sz w:val="24"/>
          <w:lang w:val="en-US" w:eastAsia="zh-CN"/>
        </w:rPr>
        <w:t>（0.05%）</w:t>
      </w:r>
      <w:r>
        <w:rPr>
          <w:rFonts w:hint="eastAsia" w:ascii="宋体" w:hAnsi="宋体" w:eastAsia="宋体" w:cs="宋体"/>
          <w:b w:val="0"/>
          <w:bCs w:val="0"/>
          <w:color w:val="000000"/>
          <w:sz w:val="24"/>
          <w:lang w:val="en-US" w:eastAsia="zh-CN"/>
        </w:rPr>
        <w:t>。</w:t>
      </w:r>
    </w:p>
    <w:p>
      <w:pPr>
        <w:spacing w:beforeLines="50" w:line="360" w:lineRule="auto"/>
        <w:jc w:val="center"/>
        <w:outlineLvl w:val="1"/>
        <w:rPr>
          <w:rFonts w:hint="eastAsia" w:eastAsia="宋体" w:asciiTheme="minorEastAsia" w:hAnsiTheme="minorEastAsia" w:cstheme="minorEastAsia"/>
          <w:lang w:eastAsia="zh-CN"/>
        </w:rPr>
      </w:pPr>
      <w:r>
        <w:drawing>
          <wp:inline distT="0" distB="0" distL="114300" distR="114300">
            <wp:extent cx="5267325" cy="3573780"/>
            <wp:effectExtent l="0" t="0" r="952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7325" cy="3573780"/>
                    </a:xfrm>
                    <a:prstGeom prst="rect">
                      <a:avLst/>
                    </a:prstGeom>
                    <a:noFill/>
                    <a:ln>
                      <a:noFill/>
                    </a:ln>
                  </pic:spPr>
                </pic:pic>
              </a:graphicData>
            </a:graphic>
          </wp:inline>
        </w:drawing>
      </w:r>
    </w:p>
    <w:p>
      <w:pPr>
        <w:pStyle w:val="3"/>
        <w:rPr>
          <w:rFonts w:asciiTheme="minorEastAsia" w:hAnsiTheme="minorEastAsia" w:cstheme="minorEastAsia"/>
        </w:rPr>
      </w:pPr>
      <w:bookmarkStart w:id="7" w:name="_Toc102659521"/>
      <w:bookmarkStart w:id="8" w:name="_Toc17807"/>
      <w:r>
        <w:rPr>
          <w:rFonts w:hint="eastAsia"/>
        </w:rPr>
        <w:t>（</w:t>
      </w:r>
      <w:r>
        <w:rPr>
          <w:rFonts w:hint="eastAsia"/>
          <w:lang w:val="en-US" w:eastAsia="zh-CN"/>
        </w:rPr>
        <w:t>三</w:t>
      </w:r>
      <w:r>
        <w:rPr>
          <w:rFonts w:hint="eastAsia"/>
        </w:rPr>
        <w:t>）投诉地区分布</w:t>
      </w:r>
      <w:bookmarkEnd w:id="7"/>
      <w:bookmarkEnd w:id="8"/>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“双11期间”，</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受理投诉</w:t>
      </w:r>
      <w:r>
        <w:rPr>
          <w:rFonts w:hint="eastAsia" w:ascii="宋体" w:hAnsi="宋体" w:eastAsia="宋体" w:cs="宋体"/>
          <w:sz w:val="24"/>
          <w:lang w:val="en-US" w:eastAsia="zh-CN"/>
        </w:rPr>
        <w:t>商家注册</w:t>
      </w:r>
      <w:r>
        <w:rPr>
          <w:rFonts w:hint="eastAsia" w:ascii="宋体" w:hAnsi="宋体" w:eastAsia="宋体" w:cs="宋体"/>
          <w:sz w:val="24"/>
        </w:rPr>
        <w:t>地区TOP</w:t>
      </w:r>
      <w:r>
        <w:rPr>
          <w:rFonts w:hint="eastAsia" w:ascii="宋体" w:hAnsi="宋体" w:eastAsia="宋体" w:cs="宋体"/>
          <w:sz w:val="24"/>
          <w:lang w:val="en-US" w:eastAsia="zh-CN"/>
        </w:rPr>
        <w:t>1</w:t>
      </w:r>
      <w:r>
        <w:rPr>
          <w:rFonts w:hint="eastAsia" w:ascii="宋体" w:hAnsi="宋体" w:eastAsia="宋体" w:cs="宋体"/>
          <w:sz w:val="24"/>
        </w:rPr>
        <w:t>0依次为广东省（</w:t>
      </w:r>
      <w:r>
        <w:rPr>
          <w:rFonts w:hint="eastAsia" w:ascii="宋体" w:hAnsi="宋体" w:eastAsia="宋体" w:cs="宋体"/>
          <w:sz w:val="24"/>
          <w:lang w:val="en-US" w:eastAsia="zh-CN"/>
        </w:rPr>
        <w:t>24.91</w:t>
      </w:r>
      <w:r>
        <w:rPr>
          <w:rFonts w:hint="eastAsia" w:ascii="宋体" w:hAnsi="宋体" w:eastAsia="宋体" w:cs="宋体"/>
          <w:sz w:val="24"/>
        </w:rPr>
        <w:t>%）、</w:t>
      </w:r>
      <w:r>
        <w:rPr>
          <w:rFonts w:hint="eastAsia" w:ascii="宋体" w:hAnsi="宋体" w:eastAsia="宋体" w:cs="宋体"/>
          <w:sz w:val="24"/>
          <w:lang w:val="en-US" w:eastAsia="zh-CN"/>
        </w:rPr>
        <w:t>河北省（15.28%）、</w:t>
      </w:r>
      <w:r>
        <w:rPr>
          <w:rFonts w:hint="eastAsia" w:ascii="宋体" w:hAnsi="宋体" w:eastAsia="宋体" w:cs="宋体"/>
          <w:sz w:val="24"/>
        </w:rPr>
        <w:t>浙江省（</w:t>
      </w:r>
      <w:r>
        <w:rPr>
          <w:rFonts w:hint="eastAsia" w:ascii="宋体" w:hAnsi="宋体" w:eastAsia="宋体" w:cs="宋体"/>
          <w:sz w:val="24"/>
          <w:lang w:val="en-US" w:eastAsia="zh-CN"/>
        </w:rPr>
        <w:t>12.20</w:t>
      </w:r>
      <w:r>
        <w:rPr>
          <w:rFonts w:hint="eastAsia" w:ascii="宋体" w:hAnsi="宋体" w:eastAsia="宋体" w:cs="宋体"/>
          <w:sz w:val="24"/>
        </w:rPr>
        <w:t>%）、</w:t>
      </w:r>
      <w:r>
        <w:rPr>
          <w:rFonts w:hint="eastAsia" w:ascii="宋体" w:hAnsi="宋体" w:eastAsia="宋体" w:cs="宋体"/>
          <w:sz w:val="24"/>
          <w:lang w:val="en-US" w:eastAsia="zh-CN"/>
        </w:rPr>
        <w:t>河南省（7.16</w:t>
      </w:r>
      <w:r>
        <w:rPr>
          <w:rFonts w:hint="eastAsia" w:ascii="宋体" w:hAnsi="宋体" w:eastAsia="宋体" w:cs="宋体"/>
          <w:sz w:val="24"/>
        </w:rPr>
        <w:t>%）、</w:t>
      </w:r>
      <w:r>
        <w:rPr>
          <w:rFonts w:hint="eastAsia" w:ascii="宋体" w:hAnsi="宋体" w:eastAsia="宋体" w:cs="宋体"/>
          <w:sz w:val="24"/>
          <w:lang w:val="en-US" w:eastAsia="zh-CN"/>
        </w:rPr>
        <w:t>山东省（6.97%）、</w:t>
      </w:r>
      <w:r>
        <w:rPr>
          <w:rFonts w:hint="eastAsia" w:ascii="宋体" w:hAnsi="宋体" w:eastAsia="宋体" w:cs="宋体"/>
          <w:sz w:val="24"/>
        </w:rPr>
        <w:t>江苏省（</w:t>
      </w:r>
      <w:r>
        <w:rPr>
          <w:rFonts w:hint="eastAsia" w:ascii="宋体" w:hAnsi="宋体" w:eastAsia="宋体" w:cs="宋体"/>
          <w:sz w:val="24"/>
          <w:lang w:val="en-US" w:eastAsia="zh-CN"/>
        </w:rPr>
        <w:t>6.42</w:t>
      </w:r>
      <w:r>
        <w:rPr>
          <w:rFonts w:hint="eastAsia" w:ascii="宋体" w:hAnsi="宋体" w:eastAsia="宋体" w:cs="宋体"/>
          <w:sz w:val="24"/>
        </w:rPr>
        <w:t>%）、</w:t>
      </w:r>
      <w:r>
        <w:rPr>
          <w:rFonts w:hint="eastAsia" w:ascii="宋体" w:hAnsi="宋体" w:eastAsia="宋体" w:cs="宋体"/>
          <w:sz w:val="24"/>
          <w:lang w:val="en-US" w:eastAsia="zh-CN"/>
        </w:rPr>
        <w:t>福建省</w:t>
      </w:r>
      <w:r>
        <w:rPr>
          <w:rFonts w:hint="eastAsia" w:ascii="宋体" w:hAnsi="宋体" w:eastAsia="宋体" w:cs="宋体"/>
          <w:sz w:val="24"/>
        </w:rPr>
        <w:t>（</w:t>
      </w:r>
      <w:r>
        <w:rPr>
          <w:rFonts w:hint="eastAsia" w:ascii="宋体" w:hAnsi="宋体" w:eastAsia="宋体" w:cs="宋体"/>
          <w:sz w:val="24"/>
          <w:lang w:val="en-US" w:eastAsia="zh-CN"/>
        </w:rPr>
        <w:t>5.69</w:t>
      </w:r>
      <w:r>
        <w:rPr>
          <w:rFonts w:hint="eastAsia" w:ascii="宋体" w:hAnsi="宋体" w:eastAsia="宋体" w:cs="宋体"/>
          <w:sz w:val="24"/>
        </w:rPr>
        <w:t>%）、</w:t>
      </w:r>
      <w:r>
        <w:rPr>
          <w:rFonts w:hint="eastAsia" w:ascii="宋体" w:hAnsi="宋体" w:eastAsia="宋体" w:cs="宋体"/>
          <w:sz w:val="24"/>
          <w:lang w:val="en-US" w:eastAsia="zh-CN"/>
        </w:rPr>
        <w:t>湖北省（3.07%）、上海市（2.34%）、广西壮族自治区（1.79%）。</w:t>
      </w:r>
    </w:p>
    <w:p>
      <w:pPr>
        <w:spacing w:beforeLines="50" w:line="360" w:lineRule="auto"/>
        <w:jc w:val="center"/>
      </w:pPr>
      <w:r>
        <w:drawing>
          <wp:inline distT="0" distB="0" distL="114300" distR="114300">
            <wp:extent cx="5272405" cy="3568700"/>
            <wp:effectExtent l="0" t="0" r="444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2405" cy="3568700"/>
                    </a:xfrm>
                    <a:prstGeom prst="rect">
                      <a:avLst/>
                    </a:prstGeom>
                    <a:noFill/>
                    <a:ln>
                      <a:noFill/>
                    </a:ln>
                  </pic:spPr>
                </pic:pic>
              </a:graphicData>
            </a:graphic>
          </wp:inline>
        </w:drawing>
      </w:r>
    </w:p>
    <w:p>
      <w:pPr>
        <w:pStyle w:val="3"/>
        <w:rPr>
          <w:rFonts w:asciiTheme="minorEastAsia" w:hAnsiTheme="minorEastAsia" w:cstheme="minorEastAsia"/>
        </w:rPr>
      </w:pPr>
      <w:r>
        <w:rPr>
          <w:rFonts w:hint="eastAsia"/>
        </w:rPr>
        <w:t>（</w:t>
      </w:r>
      <w:r>
        <w:rPr>
          <w:rFonts w:hint="eastAsia"/>
          <w:lang w:val="en-US" w:eastAsia="zh-CN"/>
        </w:rPr>
        <w:t>四</w:t>
      </w:r>
      <w:r>
        <w:rPr>
          <w:rFonts w:hint="eastAsia"/>
        </w:rPr>
        <w:t>）投诉</w:t>
      </w:r>
      <w:r>
        <w:rPr>
          <w:rFonts w:hint="eastAsia"/>
          <w:lang w:val="en-US" w:eastAsia="zh-CN"/>
        </w:rPr>
        <w:t>经营类目</w:t>
      </w:r>
      <w:r>
        <w:rPr>
          <w:rFonts w:hint="eastAsia"/>
        </w:rPr>
        <w:t>分布</w:t>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“双11期间”，</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电诉宝</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受理投诉</w:t>
      </w:r>
      <w:r>
        <w:rPr>
          <w:rFonts w:hint="eastAsia"/>
          <w:color w:val="000000" w:themeColor="text1"/>
          <w:sz w:val="24"/>
          <w:lang w:val="en-US" w:eastAsia="zh-CN"/>
          <w14:textFill>
            <w14:solidFill>
              <w14:schemeClr w14:val="tx1"/>
            </w14:solidFill>
          </w14:textFill>
        </w:rPr>
        <w:t>商家的经营类目</w:t>
      </w:r>
      <w:r>
        <w:rPr>
          <w:rFonts w:hint="eastAsia" w:ascii="宋体" w:hAnsi="宋体" w:eastAsia="宋体" w:cs="宋体"/>
          <w:sz w:val="24"/>
        </w:rPr>
        <w:t>TOP</w:t>
      </w:r>
      <w:r>
        <w:rPr>
          <w:rFonts w:hint="eastAsia" w:ascii="宋体" w:hAnsi="宋体" w:eastAsia="宋体" w:cs="宋体"/>
          <w:sz w:val="24"/>
          <w:lang w:val="en-US" w:eastAsia="zh-CN"/>
        </w:rPr>
        <w:t>1</w:t>
      </w:r>
      <w:r>
        <w:rPr>
          <w:rFonts w:hint="eastAsia" w:ascii="宋体" w:hAnsi="宋体" w:eastAsia="宋体" w:cs="宋体"/>
          <w:sz w:val="24"/>
        </w:rPr>
        <w:t>0</w:t>
      </w:r>
      <w:r>
        <w:rPr>
          <w:rFonts w:hint="eastAsia" w:ascii="宋体" w:hAnsi="宋体" w:eastAsia="宋体" w:cs="宋体"/>
          <w:sz w:val="24"/>
          <w:lang w:val="en-US" w:eastAsia="zh-CN"/>
        </w:rPr>
        <w:t>为服装服饰（17.94%）、母婴（14.45%）、居家用品（10.55%）、食品生鲜（7.71%）、3C数码（7.52%）、户外用品（4.91%）、美妆（3.99%）、家电（2.38%）、运动用品（2.20%）、箱包皮具（1.79%）。</w:t>
      </w:r>
    </w:p>
    <w:p>
      <w:pPr>
        <w:spacing w:beforeLines="50"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ascii="宋体" w:hAnsi="宋体" w:cs="宋体"/>
          <w:sz w:val="24"/>
          <w:lang w:val="en-US" w:eastAsia="zh-CN"/>
        </w:rPr>
        <w:t>此外，个护清洁、宠物用品、珠宝配饰、鲜花绿植、图书、钟表眼镜、奢侈品等类目商家也有不少投诉案例。其中，母婴</w:t>
      </w:r>
      <w:r>
        <w:rPr>
          <w:rFonts w:hint="eastAsia" w:ascii="宋体" w:hAnsi="宋体" w:eastAsia="宋体" w:cs="宋体"/>
          <w:sz w:val="24"/>
          <w:lang w:val="en-US" w:eastAsia="zh-CN"/>
        </w:rPr>
        <w:t>商家投诉占比环比10月的3.67%大幅增长。</w:t>
      </w:r>
    </w:p>
    <w:p>
      <w:pPr>
        <w:spacing w:beforeLines="50" w:line="360" w:lineRule="auto"/>
        <w:jc w:val="center"/>
        <w:rPr>
          <w:rFonts w:hint="eastAsia"/>
        </w:rPr>
      </w:pPr>
      <w:r>
        <w:drawing>
          <wp:inline distT="0" distB="0" distL="114300" distR="114300">
            <wp:extent cx="5272405" cy="3549650"/>
            <wp:effectExtent l="0" t="0" r="4445"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5272405" cy="3549650"/>
                    </a:xfrm>
                    <a:prstGeom prst="rect">
                      <a:avLst/>
                    </a:prstGeom>
                    <a:noFill/>
                    <a:ln>
                      <a:noFill/>
                    </a:ln>
                  </pic:spPr>
                </pic:pic>
              </a:graphicData>
            </a:graphic>
          </wp:inline>
        </w:drawing>
      </w:r>
    </w:p>
    <w:p>
      <w:pPr>
        <w:pStyle w:val="3"/>
        <w:rPr>
          <w:rFonts w:hint="eastAsia"/>
        </w:rPr>
      </w:pPr>
      <w:bookmarkStart w:id="9" w:name="_Toc102659522"/>
      <w:bookmarkStart w:id="10" w:name="_Toc20817"/>
      <w:r>
        <w:rPr>
          <w:rFonts w:hint="eastAsia"/>
          <w:lang w:val="en-US" w:eastAsia="zh-CN"/>
        </w:rPr>
        <w:t>（五）</w:t>
      </w:r>
      <w:bookmarkEnd w:id="9"/>
      <w:bookmarkEnd w:id="10"/>
      <w:r>
        <w:rPr>
          <w:rFonts w:hint="eastAsia"/>
        </w:rPr>
        <w:t>投诉金额区间分布</w:t>
      </w:r>
      <w:r>
        <w:rPr>
          <w:rFonts w:hint="eastAsia"/>
        </w:rPr>
        <w:tab/>
      </w:r>
    </w:p>
    <w:p>
      <w:pPr>
        <w:spacing w:before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据“电诉宝”显示，“双11期间”商家投诉金额分布主要集中在0-5万（97.39%）、5-10万（1.15%）、10-20万（0.73%）、20-50万（0.28%）、50-100万（0.14%）、未选择金额（0.09%）。</w:t>
      </w:r>
    </w:p>
    <w:p>
      <w:pPr>
        <w:spacing w:beforeLines="50" w:line="360" w:lineRule="auto"/>
        <w:jc w:val="center"/>
        <w:rPr>
          <w:rFonts w:hint="eastAsia"/>
          <w:lang w:eastAsia="zh-CN"/>
        </w:rPr>
      </w:pPr>
      <w:r>
        <w:drawing>
          <wp:inline distT="0" distB="0" distL="114300" distR="114300">
            <wp:extent cx="5273675" cy="3573780"/>
            <wp:effectExtent l="0" t="0" r="3175"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
                    <a:stretch>
                      <a:fillRect/>
                    </a:stretch>
                  </pic:blipFill>
                  <pic:spPr>
                    <a:xfrm>
                      <a:off x="0" y="0"/>
                      <a:ext cx="5273675" cy="3573780"/>
                    </a:xfrm>
                    <a:prstGeom prst="rect">
                      <a:avLst/>
                    </a:prstGeom>
                    <a:noFill/>
                    <a:ln>
                      <a:noFill/>
                    </a:ln>
                  </pic:spPr>
                </pic:pic>
              </a:graphicData>
            </a:graphic>
          </wp:inline>
        </w:drawing>
      </w:r>
    </w:p>
    <w:p>
      <w:pPr>
        <w:pStyle w:val="3"/>
        <w:rPr>
          <w:rFonts w:asciiTheme="minorEastAsia" w:hAnsiTheme="minorEastAsia" w:cstheme="minorEastAsia"/>
        </w:rPr>
      </w:pPr>
      <w:bookmarkStart w:id="11" w:name="_Toc2843"/>
      <w:bookmarkStart w:id="12" w:name="_Toc102659523"/>
      <w:r>
        <w:rPr>
          <w:rFonts w:hint="eastAsia"/>
        </w:rPr>
        <w:t>（</w:t>
      </w:r>
      <w:r>
        <w:rPr>
          <w:rFonts w:hint="eastAsia"/>
          <w:lang w:val="en-US" w:eastAsia="zh-CN"/>
        </w:rPr>
        <w:t>六</w:t>
      </w:r>
      <w:r>
        <w:rPr>
          <w:rFonts w:hint="eastAsia"/>
        </w:rPr>
        <w:t>）投诉</w:t>
      </w:r>
      <w:r>
        <w:rPr>
          <w:rFonts w:hint="eastAsia"/>
          <w:lang w:val="en-US" w:eastAsia="zh-CN"/>
        </w:rPr>
        <w:t>商家负责人</w:t>
      </w:r>
      <w:r>
        <w:rPr>
          <w:rFonts w:hint="eastAsia"/>
        </w:rPr>
        <w:t>性别分布</w:t>
      </w:r>
    </w:p>
    <w:p>
      <w:pPr>
        <w:spacing w:beforeLines="50"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电诉宝</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显示</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sz w:val="24"/>
          <w:lang w:val="en-US" w:eastAsia="zh-CN"/>
        </w:rPr>
        <w:t>“双11期间”</w:t>
      </w:r>
      <w:r>
        <w:rPr>
          <w:rFonts w:hint="eastAsia" w:ascii="宋体" w:hAnsi="宋体" w:eastAsia="宋体" w:cs="宋体"/>
          <w:color w:val="000000" w:themeColor="text1"/>
          <w:sz w:val="24"/>
          <w14:textFill>
            <w14:solidFill>
              <w14:schemeClr w14:val="tx1"/>
            </w14:solidFill>
          </w14:textFill>
        </w:rPr>
        <w:t>男性</w:t>
      </w:r>
      <w:r>
        <w:rPr>
          <w:rFonts w:hint="eastAsia" w:ascii="宋体" w:hAnsi="宋体" w:eastAsia="宋体" w:cs="宋体"/>
          <w:color w:val="000000" w:themeColor="text1"/>
          <w:sz w:val="24"/>
          <w:lang w:val="en-US" w:eastAsia="zh-CN"/>
          <w14:textFill>
            <w14:solidFill>
              <w14:schemeClr w14:val="tx1"/>
            </w14:solidFill>
          </w14:textFill>
        </w:rPr>
        <w:t>商家负责人</w:t>
      </w:r>
      <w:r>
        <w:rPr>
          <w:rFonts w:hint="eastAsia" w:ascii="宋体" w:hAnsi="宋体" w:eastAsia="宋体" w:cs="宋体"/>
          <w:color w:val="000000" w:themeColor="text1"/>
          <w:sz w:val="24"/>
          <w14:textFill>
            <w14:solidFill>
              <w14:schemeClr w14:val="tx1"/>
            </w14:solidFill>
          </w14:textFill>
        </w:rPr>
        <w:t>投诉比例为</w:t>
      </w:r>
      <w:r>
        <w:rPr>
          <w:rFonts w:hint="eastAsia" w:ascii="宋体" w:hAnsi="宋体" w:eastAsia="宋体" w:cs="宋体"/>
          <w:b/>
          <w:bCs/>
          <w:color w:val="000000" w:themeColor="text1"/>
          <w:sz w:val="24"/>
          <w:lang w:val="en-US" w:eastAsia="zh-CN"/>
          <w14:textFill>
            <w14:solidFill>
              <w14:schemeClr w14:val="tx1"/>
            </w14:solidFill>
          </w14:textFill>
        </w:rPr>
        <w:t>81.12</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女</w:t>
      </w:r>
      <w:r>
        <w:rPr>
          <w:rFonts w:hint="eastAsia" w:ascii="宋体" w:hAnsi="宋体" w:eastAsia="宋体" w:cs="宋体"/>
          <w:color w:val="000000" w:themeColor="text1"/>
          <w:sz w:val="24"/>
          <w14:textFill>
            <w14:solidFill>
              <w14:schemeClr w14:val="tx1"/>
            </w14:solidFill>
          </w14:textFill>
        </w:rPr>
        <w:t>性</w:t>
      </w:r>
      <w:r>
        <w:rPr>
          <w:rFonts w:hint="eastAsia" w:ascii="宋体" w:hAnsi="宋体" w:eastAsia="宋体" w:cs="宋体"/>
          <w:color w:val="000000" w:themeColor="text1"/>
          <w:sz w:val="24"/>
          <w:lang w:val="en-US" w:eastAsia="zh-CN"/>
          <w14:textFill>
            <w14:solidFill>
              <w14:schemeClr w14:val="tx1"/>
            </w14:solidFill>
          </w14:textFill>
        </w:rPr>
        <w:t>商家负责人</w:t>
      </w:r>
      <w:r>
        <w:rPr>
          <w:rFonts w:hint="eastAsia" w:ascii="宋体" w:hAnsi="宋体" w:eastAsia="宋体" w:cs="宋体"/>
          <w:color w:val="000000" w:themeColor="text1"/>
          <w:sz w:val="24"/>
          <w14:textFill>
            <w14:solidFill>
              <w14:schemeClr w14:val="tx1"/>
            </w14:solidFill>
          </w14:textFill>
        </w:rPr>
        <w:t>投诉比例为</w:t>
      </w:r>
      <w:r>
        <w:rPr>
          <w:rFonts w:hint="eastAsia" w:ascii="宋体" w:hAnsi="宋体" w:eastAsia="宋体" w:cs="宋体"/>
          <w:b/>
          <w:bCs/>
          <w:color w:val="000000" w:themeColor="text1"/>
          <w:sz w:val="24"/>
          <w:lang w:val="en-US" w:eastAsia="zh-CN"/>
          <w14:textFill>
            <w14:solidFill>
              <w14:schemeClr w14:val="tx1"/>
            </w14:solidFill>
          </w14:textFill>
        </w:rPr>
        <w:t>18.88</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p>
    <w:bookmarkEnd w:id="11"/>
    <w:bookmarkEnd w:id="12"/>
    <w:p>
      <w:pPr>
        <w:spacing w:beforeLines="50" w:line="360" w:lineRule="auto"/>
        <w:jc w:val="center"/>
        <w:rPr>
          <w:rFonts w:hint="eastAsia"/>
          <w:color w:val="000000" w:themeColor="text1"/>
          <w:sz w:val="24"/>
          <w14:textFill>
            <w14:solidFill>
              <w14:schemeClr w14:val="tx1"/>
            </w14:solidFill>
          </w14:textFill>
        </w:rPr>
      </w:pPr>
      <w:bookmarkStart w:id="13" w:name="_Toc6336"/>
      <w:r>
        <w:drawing>
          <wp:inline distT="0" distB="0" distL="114300" distR="114300">
            <wp:extent cx="5273675" cy="3573780"/>
            <wp:effectExtent l="0" t="0" r="3175"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5273675" cy="3573780"/>
                    </a:xfrm>
                    <a:prstGeom prst="rect">
                      <a:avLst/>
                    </a:prstGeom>
                    <a:noFill/>
                    <a:ln>
                      <a:noFill/>
                    </a:ln>
                  </pic:spPr>
                </pic:pic>
              </a:graphicData>
            </a:graphic>
          </wp:inline>
        </w:drawing>
      </w:r>
    </w:p>
    <w:p>
      <w:pPr>
        <w:spacing w:beforeLines="50" w:line="360" w:lineRule="auto"/>
        <w:ind w:firstLine="480" w:firstLineChars="200"/>
        <w:rPr>
          <w:color w:val="000000" w:themeColor="text1"/>
          <w:sz w:val="24"/>
          <w14:textFill>
            <w14:solidFill>
              <w14:schemeClr w14:val="tx1"/>
            </w14:solidFill>
          </w14:textFill>
        </w:rPr>
      </w:pPr>
    </w:p>
    <w:bookmarkEnd w:id="13"/>
    <w:p>
      <w:pPr>
        <w:pStyle w:val="2"/>
        <w:rPr>
          <w:rFonts w:ascii="微软雅黑" w:hAnsi="微软雅黑" w:eastAsia="微软雅黑" w:cs="微软雅黑"/>
          <w:sz w:val="32"/>
          <w:szCs w:val="32"/>
        </w:rPr>
      </w:pPr>
      <w:bookmarkStart w:id="14" w:name="_Toc2103"/>
      <w:bookmarkStart w:id="15" w:name="_Toc102659524"/>
      <w:r>
        <w:rPr>
          <w:rFonts w:hint="eastAsia" w:ascii="微软雅黑" w:hAnsi="微软雅黑" w:eastAsia="微软雅黑" w:cs="微软雅黑"/>
          <w:sz w:val="32"/>
          <w:szCs w:val="32"/>
        </w:rPr>
        <w:t>三、</w:t>
      </w:r>
      <w:bookmarkEnd w:id="14"/>
      <w:r>
        <w:rPr>
          <w:rFonts w:hint="eastAsia" w:ascii="微软雅黑" w:hAnsi="微软雅黑" w:eastAsia="微软雅黑" w:cs="微软雅黑"/>
          <w:sz w:val="32"/>
          <w:szCs w:val="32"/>
          <w:lang w:val="en-US" w:eastAsia="zh-CN"/>
        </w:rPr>
        <w:t>十大</w:t>
      </w:r>
      <w:r>
        <w:rPr>
          <w:rFonts w:hint="eastAsia" w:ascii="微软雅黑" w:hAnsi="微软雅黑" w:eastAsia="微软雅黑" w:cs="微软雅黑"/>
          <w:sz w:val="32"/>
          <w:szCs w:val="32"/>
        </w:rPr>
        <w:t>典型案例</w:t>
      </w:r>
      <w:bookmarkEnd w:id="15"/>
    </w:p>
    <w:p>
      <w:pPr>
        <w:spacing w:beforeLines="50" w:line="360" w:lineRule="auto"/>
        <w:ind w:firstLine="480" w:firstLineChars="200"/>
        <w:rPr>
          <w:rFonts w:hint="eastAsia" w:ascii="宋体" w:hAnsi="宋体" w:eastAsia="宋体" w:cs="宋体"/>
          <w:sz w:val="24"/>
          <w:lang w:val="en-US" w:eastAsia="zh-CN"/>
        </w:rPr>
      </w:pPr>
      <w:bookmarkStart w:id="16" w:name="_Toc102659526"/>
      <w:r>
        <w:rPr>
          <w:rFonts w:ascii="宋体" w:hAnsi="宋体" w:eastAsia="宋体" w:cs="宋体"/>
          <w:sz w:val="24"/>
        </w:rPr>
        <w:t>据</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受理</w:t>
      </w:r>
      <w:r>
        <w:rPr>
          <w:rFonts w:hint="eastAsia" w:ascii="宋体" w:hAnsi="宋体" w:eastAsia="宋体" w:cs="宋体"/>
          <w:sz w:val="24"/>
          <w:lang w:val="en-US" w:eastAsia="zh-CN"/>
        </w:rPr>
        <w:t>商家</w:t>
      </w:r>
      <w:r>
        <w:rPr>
          <w:rFonts w:ascii="宋体" w:hAnsi="宋体" w:eastAsia="宋体" w:cs="宋体"/>
          <w:sz w:val="24"/>
        </w:rPr>
        <w:t>维权案例，我们从中选取</w:t>
      </w:r>
      <w:r>
        <w:rPr>
          <w:rFonts w:hint="eastAsia" w:ascii="宋体" w:hAnsi="宋体" w:eastAsia="宋体" w:cs="宋体"/>
          <w:sz w:val="24"/>
        </w:rPr>
        <w:t>十</w:t>
      </w:r>
      <w:r>
        <w:rPr>
          <w:rFonts w:ascii="宋体" w:hAnsi="宋体" w:eastAsia="宋体" w:cs="宋体"/>
          <w:sz w:val="24"/>
        </w:rPr>
        <w:t>大典型</w:t>
      </w:r>
      <w:r>
        <w:rPr>
          <w:rFonts w:hint="eastAsia" w:ascii="宋体" w:hAnsi="宋体" w:eastAsia="宋体" w:cs="宋体"/>
          <w:sz w:val="24"/>
        </w:rPr>
        <w:t>投诉</w:t>
      </w:r>
      <w:r>
        <w:rPr>
          <w:rFonts w:ascii="宋体" w:hAnsi="宋体" w:eastAsia="宋体" w:cs="宋体"/>
          <w:sz w:val="24"/>
        </w:rPr>
        <w:t>案例，涉及</w:t>
      </w:r>
      <w:r>
        <w:rPr>
          <w:rFonts w:hint="eastAsia" w:asciiTheme="minorEastAsia" w:hAnsiTheme="minorEastAsia" w:cstheme="minorEastAsia"/>
          <w:b/>
          <w:bCs/>
          <w:color w:val="000000" w:themeColor="text1"/>
          <w:sz w:val="24"/>
          <w:lang w:val="en-US" w:eastAsia="zh-CN"/>
          <w14:textFill>
            <w14:solidFill>
              <w14:schemeClr w14:val="tx1"/>
            </w14:solidFill>
          </w14:textFill>
        </w:rPr>
        <w:t>闲鱼、1688、饿了么、抖音、快手、小红书、天猫、拼多多、微信、淘宝。</w:t>
      </w:r>
      <w:r>
        <w:rPr>
          <w:rFonts w:hint="eastAsia" w:ascii="宋体" w:hAnsi="宋体" w:cs="宋体"/>
          <w:b w:val="0"/>
          <w:bCs w:val="0"/>
          <w:color w:val="000000"/>
          <w:sz w:val="24"/>
          <w:lang w:val="en-US" w:eastAsia="zh-CN"/>
        </w:rPr>
        <w:t>涉及问题包括：</w:t>
      </w:r>
      <w:r>
        <w:rPr>
          <w:rFonts w:hint="eastAsia" w:ascii="宋体" w:hAnsi="宋体" w:cs="宋体"/>
          <w:b/>
          <w:bCs/>
          <w:color w:val="000000"/>
          <w:sz w:val="24"/>
          <w:lang w:val="en-US" w:eastAsia="zh-CN"/>
        </w:rPr>
        <w:t>任意仅退款、过度维护消费者、冻结店铺资金、退款问题、随意封店</w:t>
      </w:r>
      <w:r>
        <w:rPr>
          <w:rFonts w:hint="eastAsia" w:ascii="宋体" w:hAnsi="宋体" w:cs="宋体"/>
          <w:b w:val="0"/>
          <w:bCs w:val="0"/>
          <w:color w:val="000000"/>
          <w:sz w:val="24"/>
          <w:lang w:val="en-US" w:eastAsia="zh-CN"/>
        </w:rPr>
        <w:t>等。</w:t>
      </w:r>
    </w:p>
    <w:p>
      <w:pPr>
        <w:spacing w:beforeLines="50" w:line="360" w:lineRule="auto"/>
        <w:jc w:val="left"/>
        <w:rPr>
          <w:rFonts w:hint="eastAsia"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5269865" cy="4119245"/>
            <wp:effectExtent l="0" t="0" r="6985" b="14605"/>
            <wp:docPr id="3" name="图片 3" descr="表格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4(1)"/>
                    <pic:cNvPicPr>
                      <a:picLocks noChangeAspect="1"/>
                    </pic:cNvPicPr>
                  </pic:nvPicPr>
                  <pic:blipFill>
                    <a:blip r:embed="rId13"/>
                    <a:stretch>
                      <a:fillRect/>
                    </a:stretch>
                  </pic:blipFill>
                  <pic:spPr>
                    <a:xfrm>
                      <a:off x="0" y="0"/>
                      <a:ext cx="5269865" cy="4119245"/>
                    </a:xfrm>
                    <a:prstGeom prst="rect">
                      <a:avLst/>
                    </a:prstGeom>
                  </pic:spPr>
                </pic:pic>
              </a:graphicData>
            </a:graphic>
          </wp:inline>
        </w:drawing>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一</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闲鱼</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买家以</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描述不符合要挟恶意仅退款</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卖家钱货两空</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10月1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4</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闲鱼平台上一二手买家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房先生</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stage名绅</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投诉称其于2024年10月10日在闲鱼卖一个价位520元的二手文玩</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买家</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于</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2024年10月14日收货</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申请仅退款。</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房先生</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表示，</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二手文玩类东西买的时候会缩尺</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是</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正常现象。房先生同意买家退货退款并且承担运费</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，但</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买家依旧不依不饶</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坚持收到货后发现尺寸不对申请</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仅</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退款不退货。以房先生描述不符合作为要挟恶意仅退款。房先生不小心误点了同意退款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以为是退货退款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现在东西在买家上手</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钱也不给退回</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2" w:firstLineChars="200"/>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二</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】用户投诉</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1688</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平台擅自</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仅退款</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商家遭遇钱货两空困境</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10月18日，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1688平台上一3C数码商家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冉先生</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（重庆英码电子有限公司）</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投诉称其于2024年10月13日遭遇了一起不公正的仅退款事件，一位客户在2024年9月9日在冉先生所经营的店铺中购买了一台360水冷散热器，在使用该散热器接近一个月后，于10月初向店铺提出了退货退款的要求。</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冉先生表示店铺按照常规的退货流程进行了处理，买家在后台提交了投诉，平台</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"http://www.100ec.cn/Index/complaintData.html"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客服</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介入。但平台客服在买家尚未退回货物的情况下，直接做出了仅退款的决定，导致买家既保留了货款又拥有了货物。</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冉先生认为1688平台客服在处理此事时表现出了严重的不公平性，忽视了卖家的合理诉求，过度偏向买家一方。冉先生认为在此次交易中，卖家并无过错，而是买家方面存在问题，但平台却将责任单方面强加给了卖家。冉先生的诉求是平台退回货款，或者拿回货物。</w:t>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三</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饿了么</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官方配送时间太长 平台竟让商家全额退款？</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10月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27</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饿了么平台上一外卖商家梅先生（蚝享呷）</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做饿了么商家外卖，正常做单出餐，采用饿了么官方配送。有一次被饿了么客服全额退款，理由是配送时间太长。</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梅先生称，这是饿了么平台自己发起的退款，不是消费者发起的，并显示不可索赔，商家是钱货两空。梅先生电话饿了么客服，对方表示无法赔偿。梅先生表示，饿了么公司配送超时为什么要他赔偿，这是霸王条款。</w:t>
      </w:r>
    </w:p>
    <w:p>
      <w:pPr>
        <w:spacing w:beforeLines="50" w:line="360" w:lineRule="auto"/>
        <w:ind w:firstLine="482" w:firstLineChars="200"/>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四</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】商家投诉</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抖音</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平台买家恶意仅退款 回复：剔除商家售后拒绝率考核指标</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10月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31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抖音平台上一食品生鲜商家吴先生（吴志勤的小店）</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2024年10月31日在抖音电商平台经历了不合理的</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仅退款</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判定。吴先生称，买家于25号申请了一次仅退款，因买家商品是正常的无质量问题的新鲜黑老虎果，商家拒绝后买家申请平台介入，10月28号仲裁支持用户退款，仅退款了一半，吴先生也不想再去理论。</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然而，10月31号，买家再次恶意申请仅退款，凭证图为一包纸巾，拒绝后买家再次申请平台仲裁。吴先生的诉求是平台取消买家恶意申请仅退款所产生的品退和拒绝买家再次申请恶意仅退款。</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接到该用户投诉后，我们第一时间将投诉案件移交该平台相关人员，</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抖音</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工作人员表示：</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您好，经核实订单前期商家考虑消费者体验同意退款一半，现消费者再次申请仅退款，现售后状态仲裁协商中建议商家积极和买家进行协商，若协商不一致会有仲裁客服介入处理。关于拒绝消费者售后影响体验分问题，告知商家拒绝售后申请后，消费者申请仲裁，平台判定是非商家责任，会剔除商家售后拒绝率考核指标。建议注意关注订单后续售后状态，感谢您的理解与支持。</w:t>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五</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】商家称买家还未上传凭证 </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快手</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就直接</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仅退款</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处理</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8</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快手平台上一</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个护清洁</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商家张先生（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ZUZU丸贞初瑞雪家店播</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买家购买了2个产品</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收到货以后未与客服沟通，传了一张图片说</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是</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破损，直接申请仅退款。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张先生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只看到半张图片，驳回买家仅退款的申请，买家随后申请平台介入，介入后要求买家上传凭证</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张先生称，</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买家还没上传凭证呢，同时平台给买家仅退款了，中间客服专员未曾核实，</w:t>
      </w:r>
      <w:bookmarkStart w:id="163" w:name="_GoBack"/>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未经过商家同意就给买家仅退款，造成商家损失。</w:t>
      </w:r>
      <w:bookmarkEnd w:id="163"/>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张先生表示疑惑，</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现在平台不经核实就仅退款了吗？买家说破损就是破损了吗，不需要去核实吗？即使破损可以退货退款，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张先生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也明确告知不支持仅退款了</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2" w:firstLineChars="200"/>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六</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小红书</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商家称</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账号</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资金</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被</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冻结</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平台客服不给处理方法</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14</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小红书平台上一商家周先生（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海洋通信</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投诉称其于2024年10月17号在使用小红书的过程中，不幸遭遇了账号冻结、店铺资金冻结的情况，对此感到非常困惑和遗憾。</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周先生的诉求是：</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解除店铺资金、店铺冻结</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恢复账号正常使用。</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关于</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违规情况说明</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，周先生表示</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已认真反思了自己在平台上的行为</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可能存在的违规情况</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因为平台规则没有列明具体详细项。对于这些行为</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仔细阅读了相关小红书规格，深感抱歉，并已采取措施进行改正。</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周先生称</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怀疑</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自己</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的账号可能存在以下误会或误判：每个出售的产品，没有一个投诉，违规及售后问题，客户都有明确已确实收到实际的商品。产品出售快一个多月，突然收到小红书平违规，店铺冻结及资金冻结，并且不给在小红书平台申诉</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平台客服也不给处理方法</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。周先生表示</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愿意提供相关证据，以证明清白</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希望监督管理机构给商家伸张正义。</w:t>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w:t>
      </w:r>
      <w:r>
        <w:rPr>
          <w:rFonts w:hint="eastAsia" w:cstheme="minorBidi"/>
          <w:b/>
          <w:bCs/>
          <w:color w:val="000000" w:themeColor="text1"/>
          <w:kern w:val="2"/>
          <w:sz w:val="24"/>
          <w:szCs w:val="24"/>
          <w:lang w:val="en-US" w:eastAsia="zh-CN" w:bidi="ar-SA"/>
          <w14:textFill>
            <w14:solidFill>
              <w14:schemeClr w14:val="tx1"/>
            </w14:solidFill>
          </w14:textFill>
        </w:rPr>
        <w:t>案例七</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】商家投诉天猫</w:t>
      </w:r>
      <w:r>
        <w:rPr>
          <w:rFonts w:hint="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交个朋友直播间</w:t>
      </w:r>
      <w:r>
        <w:rPr>
          <w:rFonts w:hint="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合作销量远低预期 要求退款或履行承诺</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11月18日，</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"http://www.100ec.cn/zt/df/"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上海</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市的杨先生向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投诉称其于2024年9月26日与</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"http://www.100ec.cn/zt/df/"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杭州</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交个朋友智慧科技有限公司签署关于天猫交个朋友直播间合作框架协议，总计费用20万元整。</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杨先生表示协议签署前多次对接确认相关细节，如预估销量、直播切片</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begin"/>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instrText xml:space="preserve"> HYPERLINK "https://www.100ec.cn/Index/complain_search.html?company=%E6%8A%96%E9%9F%B3" \t "https://www.100ec.cn/_blank" </w:instrTex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separate"/>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抖音</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fldChar w:fldCharType="end"/>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渠道矩阵号的分发（微信聊天截图），合作开始后至今除去退货退款的销售商品总件数为400台左右，承诺的1500个矩阵号的分发也只有3条记录左右。</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杨先生认为严重偏离承诺数量，销量不及预期虽有补场直播，但也基本局限于助理场次直播间挂车（口播只有1场）。杨先生现提出投诉，方案为按比例退款，或者完成所有承诺预期。</w:t>
      </w:r>
    </w:p>
    <w:p>
      <w:pPr>
        <w:spacing w:beforeLines="50" w:line="360" w:lineRule="auto"/>
        <w:ind w:firstLine="482"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八</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】消费者虚假退货？</w:t>
      </w:r>
      <w:r>
        <w:rPr>
          <w:rFonts w:hint="eastAsia" w:cstheme="minorBidi"/>
          <w:b/>
          <w:bCs/>
          <w:color w:val="000000" w:themeColor="text1"/>
          <w:kern w:val="2"/>
          <w:sz w:val="24"/>
          <w:szCs w:val="24"/>
          <w:lang w:val="en-US" w:eastAsia="zh-CN" w:bidi="ar-SA"/>
          <w14:textFill>
            <w14:solidFill>
              <w14:schemeClr w14:val="tx1"/>
            </w14:solidFill>
          </w14:textFill>
        </w:rPr>
        <w:t>“拼多多”</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商家要求</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平台追回货款</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23</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cstheme="minorBidi"/>
          <w:b w:val="0"/>
          <w:bCs w:val="0"/>
          <w:color w:val="000000" w:themeColor="text1"/>
          <w:kern w:val="2"/>
          <w:sz w:val="24"/>
          <w:szCs w:val="24"/>
          <w:lang w:val="en-US" w:eastAsia="zh-CN" w:bidi="ar-SA"/>
          <w14:textFill>
            <w14:solidFill>
              <w14:schemeClr w14:val="tx1"/>
            </w14:solidFill>
          </w14:textFill>
        </w:rPr>
        <w:t>，拼多多</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平台上一商家高先生（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小均均办公文具用品店</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投诉称消费者</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于</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2024年9月28日在</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网店购买一款支架式白板，10月1日第一次申请退货退款，10月10日再次申请退货退款。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但</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消费者未按照</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提供的地址寄回商品，并提供虚假退货单号诈骗商家。消费者收件地址是湖北省襄阳市，退货单号发货地为青岛市，退货单号的收件地址联系人也不是</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提供的。</w:t>
      </w:r>
    </w:p>
    <w:p>
      <w:pPr>
        <w:spacing w:beforeLines="50" w:line="360" w:lineRule="auto"/>
        <w:ind w:firstLine="480" w:firstLineChars="200"/>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高先生称，</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因仓库未及时找到这个退回商品，平台自动退款。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多次找平台寻求帮助追回货款，平台均不给予申诉。找平台提供消费者联系方式也不提供，</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无法联系上消费者。</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高先生表示自己</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经历了不合理的</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虚假退货并不给予追回货款</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判定，侵害了商家权益，诉求是平台追回货款或提供消费者真实的收件人名字和联系方式。</w:t>
      </w:r>
    </w:p>
    <w:p>
      <w:pPr>
        <w:spacing w:beforeLines="50" w:line="360" w:lineRule="auto"/>
        <w:ind w:firstLine="482" w:firstLineChars="200"/>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九</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】商家称被</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微信</w:t>
      </w:r>
      <w:r>
        <w:rPr>
          <w:rFonts w:hint="eastAsia" w:cstheme="minorBidi"/>
          <w:b/>
          <w:bCs/>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判定违规</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 xml:space="preserve"> </w:t>
      </w:r>
      <w:r>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一百多万的货款冻结六个月</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28</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微信平台上一</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珠宝配饰</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商家周先生（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和美玉业6666</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投诉称其于2024年11月22日被平台判定违规</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根据违规提及的发布违禁信息实施细则，均未提到处罚冻结提现货款</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。周先生称自己</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所有产品通过视频号官方基地质检发货合规商家，一个月交给官方质检费用都十几万，对此处罚存在异议，申请撤销冻结可提现支付资金6个月的处罚</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周先生认为，微信平台</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存在滥用规则判定商家货款，处罚过于严重，一百多万的货款冻结六个月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面临资金压力，无法生存</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。周先生表示，他</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们的商品能不能售卖也都是和微信官方质检基地沟通过，可以上链接才发布售卖的，所有的商品也都是通过质检基地质检发货的</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2" w:firstLineChars="200"/>
        <w:rPr>
          <w:rFonts w:hint="default"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【案例</w:t>
      </w:r>
      <w:r>
        <w:rPr>
          <w:rFonts w:hint="eastAsia" w:cstheme="minorBidi"/>
          <w:b/>
          <w:bCs/>
          <w:color w:val="000000" w:themeColor="text1"/>
          <w:kern w:val="2"/>
          <w:sz w:val="24"/>
          <w:szCs w:val="24"/>
          <w:lang w:val="en-US" w:eastAsia="zh-CN" w:bidi="ar-SA"/>
          <w14:textFill>
            <w14:solidFill>
              <w14:schemeClr w14:val="tx1"/>
            </w14:solidFill>
          </w14:textFill>
        </w:rPr>
        <w:t>十</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】11年老店被判定售假？</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淘宝</w:t>
      </w:r>
      <w:r>
        <w:rPr>
          <w:rFonts w:hint="eastAsia" w:cstheme="minorBidi"/>
          <w:b/>
          <w:bCs/>
          <w:color w:val="000000" w:themeColor="text1"/>
          <w:kern w:val="2"/>
          <w:sz w:val="24"/>
          <w:szCs w:val="24"/>
          <w:lang w:val="en-US" w:eastAsia="zh-CN" w:bidi="ar-SA"/>
          <w14:textFill>
            <w14:solidFill>
              <w14:schemeClr w14:val="tx1"/>
            </w14:solidFill>
          </w14:textFill>
        </w:rPr>
        <w:t>”</w:t>
      </w:r>
      <w:r>
        <w:rPr>
          <w:rFonts w:hint="eastAsia" w:asciiTheme="minorHAnsi" w:hAnsiTheme="minorHAnsi" w:eastAsiaTheme="minorEastAsia" w:cstheme="minorBidi"/>
          <w:b/>
          <w:bCs/>
          <w:color w:val="000000" w:themeColor="text1"/>
          <w:kern w:val="2"/>
          <w:sz w:val="24"/>
          <w:szCs w:val="24"/>
          <w:lang w:val="en-US" w:eastAsia="zh-CN" w:bidi="ar-SA"/>
          <w14:textFill>
            <w14:solidFill>
              <w14:schemeClr w14:val="tx1"/>
            </w14:solidFill>
          </w14:textFill>
        </w:rPr>
        <w:t>商家称损失几十万</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月</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28</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淘宝平台上一</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运动用品</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商家马先生（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马帮主正品运动</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向</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电诉宝</w:t>
      </w:r>
      <w:r>
        <w:rPr>
          <w:rFonts w:hint="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投诉称</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其</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于2024-11-13 10:29:15在淘宝平台被淘宝系统判定售假</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提交了正规的进货发票小票</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以及</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专柜的授权证明，</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但</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淘宝均以综合维度为理由判定</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马先生</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售假</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p>
    <w:p>
      <w:pPr>
        <w:spacing w:beforeLines="50" w:line="360" w:lineRule="auto"/>
        <w:ind w:firstLine="480" w:firstLineChars="200"/>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马先生表示，</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店铺开了11年，没有卖过假货，淘宝那么多假货他们不查，反而来查</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他</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正品的十一年老店</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。马先生称自己</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提供了正规的申诉材料，淘宝视而不见，</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使他</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损失了几十万的收入来源。</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马先生表示，他们</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有正规的小票</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授权证明</w:t>
      </w:r>
      <w:r>
        <w:rPr>
          <w:rFonts w:hint="eastAsia"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w:t>
      </w:r>
      <w:r>
        <w:rPr>
          <w:rFonts w:hint="default" w:asciiTheme="minorHAnsi" w:hAnsiTheme="minorHAnsi" w:eastAsiaTheme="minorEastAsia" w:cstheme="minorBidi"/>
          <w:b w:val="0"/>
          <w:bCs w:val="0"/>
          <w:color w:val="000000" w:themeColor="text1"/>
          <w:kern w:val="2"/>
          <w:sz w:val="24"/>
          <w:szCs w:val="24"/>
          <w:lang w:val="en-US" w:eastAsia="zh-CN" w:bidi="ar-SA"/>
          <w14:textFill>
            <w14:solidFill>
              <w14:schemeClr w14:val="tx1"/>
            </w14:solidFill>
          </w14:textFill>
        </w:rPr>
        <w:t>台湾代购的物流证明，金额都是高于购买的金额，合法合规。</w:t>
      </w:r>
    </w:p>
    <w:bookmarkEnd w:id="16"/>
    <w:p>
      <w:pPr>
        <w:spacing w:beforeLines="50" w:line="360" w:lineRule="auto"/>
        <w:jc w:val="both"/>
        <w:rPr>
          <w:rFonts w:hint="eastAsia" w:asciiTheme="minorEastAsia" w:hAnsiTheme="minorEastAsia" w:cstheme="minorEastAsia"/>
          <w:b/>
          <w:bCs/>
          <w:color w:val="000000" w:themeColor="text1"/>
          <w:sz w:val="24"/>
          <w:lang w:val="en-US" w:eastAsia="zh-CN"/>
          <w14:textFill>
            <w14:solidFill>
              <w14:schemeClr w14:val="tx1"/>
            </w14:solidFill>
          </w14:textFill>
        </w:rPr>
      </w:pPr>
    </w:p>
    <w:p>
      <w:pPr>
        <w:spacing w:beforeLines="50" w:line="360" w:lineRule="auto"/>
        <w:jc w:val="both"/>
        <w:rPr>
          <w:rFonts w:hint="eastAsia" w:asciiTheme="minorEastAsia" w:hAnsiTheme="minorEastAsia" w:cstheme="minorEastAsia"/>
          <w:b/>
          <w:bCs/>
          <w:color w:val="000000" w:themeColor="text1"/>
          <w:sz w:val="24"/>
          <w:lang w:val="en-US" w:eastAsia="zh-CN"/>
          <w14:textFill>
            <w14:solidFill>
              <w14:schemeClr w14:val="tx1"/>
            </w14:solidFill>
          </w14:textFill>
        </w:rPr>
      </w:pPr>
      <w:r>
        <w:rPr>
          <w:rFonts w:hint="eastAsia" w:asciiTheme="minorEastAsia" w:hAnsiTheme="minorEastAsia" w:cstheme="minorEastAsia"/>
          <w:b/>
          <w:bCs/>
          <w:color w:val="000000" w:themeColor="text1"/>
          <w:sz w:val="24"/>
          <w:lang w:val="en-US" w:eastAsia="zh-CN"/>
          <w14:textFill>
            <w14:solidFill>
              <w14:schemeClr w14:val="tx1"/>
            </w14:solidFill>
          </w14:textFill>
        </w:rPr>
        <w:t>附录：</w:t>
      </w:r>
    </w:p>
    <w:p>
      <w:pPr>
        <w:spacing w:beforeLines="50" w:line="360" w:lineRule="auto"/>
        <w:jc w:val="both"/>
        <w:rPr>
          <w:rFonts w:hint="eastAsia" w:asciiTheme="minorEastAsia" w:hAnsi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cstheme="minorEastAsia"/>
          <w:color w:val="000000" w:themeColor="text1"/>
          <w:sz w:val="22"/>
          <w:szCs w:val="22"/>
          <w:lang w:val="en-US" w:eastAsia="zh-CN"/>
          <w14:textFill>
            <w14:solidFill>
              <w14:schemeClr w14:val="tx1"/>
            </w14:solidFill>
          </w14:textFill>
        </w:rPr>
        <w:t>“电商平台‘仅退款’调查行动”</w:t>
      </w:r>
      <w:r>
        <w:rPr>
          <w:rFonts w:hint="default" w:asciiTheme="minorEastAsia" w:hAnsiTheme="minorEastAsia" w:cstheme="minorEastAsia"/>
          <w:color w:val="000000" w:themeColor="text1"/>
          <w:sz w:val="22"/>
          <w:szCs w:val="22"/>
          <w:lang w:val="en-US" w:eastAsia="zh-CN"/>
          <w14:textFill>
            <w14:solidFill>
              <w14:schemeClr w14:val="tx1"/>
            </w14:solidFill>
          </w14:textFill>
        </w:rPr>
        <w:t>：</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default"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"http://www.100ec.cn/zt/diansubao/" \t "https://www.100ec.cn/_self" </w:instrTex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default" w:asciiTheme="minorEastAsia" w:hAnsiTheme="minorEastAsia" w:cstheme="minorEastAsia"/>
          <w:color w:val="000000" w:themeColor="text1"/>
          <w:sz w:val="22"/>
          <w:szCs w:val="22"/>
          <w:lang w:val="en-US" w:eastAsia="zh-CN"/>
          <w14:textFill>
            <w14:solidFill>
              <w14:schemeClr w14:val="tx1"/>
            </w14:solidFill>
          </w14:textFill>
        </w:rPr>
        <w:t>www.100ec.cn/zt/diansubao/</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p>
    <w:p>
      <w:pPr>
        <w:spacing w:beforeLines="50" w:line="360" w:lineRule="auto"/>
        <w:jc w:val="both"/>
        <w:rPr>
          <w:rFonts w:hint="default" w:asciiTheme="minorEastAsia" w:hAnsi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cstheme="minorEastAsia"/>
          <w:color w:val="000000" w:themeColor="text1"/>
          <w:sz w:val="22"/>
          <w:szCs w:val="22"/>
          <w:lang w:val="en-US" w:eastAsia="zh-CN"/>
          <w14:textFill>
            <w14:solidFill>
              <w14:schemeClr w14:val="tx1"/>
            </w14:solidFill>
          </w14:textFill>
        </w:rPr>
        <w:t>《2024年电商平台“仅退款”调查</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default"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"http://www.100ec.cn/zt/bgk/" \t "https://www.100ec.cn/_blank" </w:instrTex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default" w:asciiTheme="minorEastAsia" w:hAnsiTheme="minorEastAsia" w:cstheme="minorEastAsia"/>
          <w:color w:val="000000" w:themeColor="text1"/>
          <w:sz w:val="22"/>
          <w:szCs w:val="22"/>
          <w:lang w:val="en-US" w:eastAsia="zh-CN"/>
          <w14:textFill>
            <w14:solidFill>
              <w14:schemeClr w14:val="tx1"/>
            </w14:solidFill>
          </w14:textFill>
        </w:rPr>
        <w:t>报告</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r>
        <w:rPr>
          <w:rFonts w:hint="default" w:asciiTheme="minorEastAsia" w:hAnsiTheme="minorEastAsia" w:cstheme="minorEastAsia"/>
          <w:color w:val="000000" w:themeColor="text1"/>
          <w:sz w:val="22"/>
          <w:szCs w:val="22"/>
          <w:lang w:val="en-US" w:eastAsia="zh-CN"/>
          <w14:textFill>
            <w14:solidFill>
              <w14:schemeClr w14:val="tx1"/>
            </w14:solidFill>
          </w14:textFill>
        </w:rPr>
        <w:t>》：</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default"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"https://www.100ec.cn/zt/24jtk/" </w:instrTex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default" w:asciiTheme="minorEastAsia" w:hAnsiTheme="minorEastAsia" w:cstheme="minorEastAsia"/>
          <w:color w:val="000000" w:themeColor="text1"/>
          <w:sz w:val="22"/>
          <w:szCs w:val="22"/>
          <w:lang w:val="en-US" w:eastAsia="zh-CN"/>
          <w14:textFill>
            <w14:solidFill>
              <w14:schemeClr w14:val="tx1"/>
            </w14:solidFill>
          </w14:textFill>
        </w:rPr>
        <w:t>www.100ec.cn/zt/24jtk/</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p>
    <w:p>
      <w:pPr>
        <w:spacing w:beforeLines="50" w:line="360" w:lineRule="auto"/>
        <w:jc w:val="both"/>
        <w:rPr>
          <w:rFonts w:hint="eastAsia" w:asciiTheme="minorEastAsia" w:hAnsi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cstheme="minorEastAsia"/>
          <w:color w:val="000000" w:themeColor="text1"/>
          <w:sz w:val="22"/>
          <w:szCs w:val="22"/>
          <w:lang w:val="en-US" w:eastAsia="zh-CN"/>
          <w14:textFill>
            <w14:solidFill>
              <w14:schemeClr w14:val="tx1"/>
            </w14:solidFill>
          </w14:textFill>
        </w:rPr>
        <w:t>《2024年Q3中国电商平台商家投诉数据报告》</w:t>
      </w:r>
      <w:r>
        <w:rPr>
          <w:rFonts w:hint="eastAsia"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eastAsia"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"https://www.100ec.cn/zt/2024Q3dspt/" \t "https://www.100ec.cn/_self" </w:instrText>
      </w:r>
      <w:r>
        <w:rPr>
          <w:rFonts w:hint="eastAsia"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eastAsia" w:asciiTheme="minorEastAsia" w:hAnsiTheme="minorEastAsia" w:cstheme="minorEastAsia"/>
          <w:color w:val="000000" w:themeColor="text1"/>
          <w:sz w:val="22"/>
          <w:szCs w:val="22"/>
          <w:lang w:val="en-US" w:eastAsia="zh-CN"/>
          <w14:textFill>
            <w14:solidFill>
              <w14:schemeClr w14:val="tx1"/>
            </w14:solidFill>
          </w14:textFill>
        </w:rPr>
        <w:t>：</w:t>
      </w:r>
      <w:r>
        <w:rPr>
          <w:rFonts w:hint="default" w:asciiTheme="minorEastAsia" w:hAnsiTheme="minorEastAsia" w:cstheme="minorEastAsia"/>
          <w:color w:val="000000" w:themeColor="text1"/>
          <w:sz w:val="22"/>
          <w:szCs w:val="22"/>
          <w:lang w:val="en-US" w:eastAsia="zh-CN"/>
          <w14:textFill>
            <w14:solidFill>
              <w14:schemeClr w14:val="tx1"/>
            </w14:solidFill>
          </w14:textFill>
        </w:rPr>
        <w:t>www.100ec.cn/zt/2024Q3dspt/</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p>
    <w:p>
      <w:pPr>
        <w:spacing w:beforeLines="50" w:line="360" w:lineRule="auto"/>
        <w:jc w:val="both"/>
        <w:rPr>
          <w:rFonts w:hint="eastAsia" w:asciiTheme="minorEastAsia" w:hAnsi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cstheme="minorEastAsia"/>
          <w:color w:val="000000" w:themeColor="text1"/>
          <w:sz w:val="22"/>
          <w:szCs w:val="22"/>
          <w:lang w:val="en-US" w:eastAsia="zh-CN"/>
          <w14:textFill>
            <w14:solidFill>
              <w14:schemeClr w14:val="tx1"/>
            </w14:solidFill>
          </w14:textFill>
        </w:rPr>
        <w:t>《2024年10月中国电商平台商家投诉数据报告》www.100ec.cn/detail--6643752.html</w:t>
      </w:r>
    </w:p>
    <w:p>
      <w:pPr>
        <w:spacing w:beforeLines="50" w:line="360" w:lineRule="auto"/>
        <w:jc w:val="both"/>
        <w:rPr>
          <w:rFonts w:hint="default" w:asciiTheme="minorEastAsia" w:hAnsiTheme="minorEastAsia" w:cstheme="minorEastAsia"/>
          <w:color w:val="000000" w:themeColor="text1"/>
          <w:sz w:val="22"/>
          <w:szCs w:val="22"/>
          <w:lang w:val="en-US" w:eastAsia="zh-CN"/>
          <w14:textFill>
            <w14:solidFill>
              <w14:schemeClr w14:val="tx1"/>
            </w14:solidFill>
          </w14:textFill>
        </w:rPr>
      </w:pPr>
      <w:r>
        <w:rPr>
          <w:rFonts w:hint="eastAsia" w:asciiTheme="minorEastAsia" w:hAnsiTheme="minorEastAsia" w:cstheme="minorEastAsia"/>
          <w:color w:val="000000" w:themeColor="text1"/>
          <w:sz w:val="22"/>
          <w:szCs w:val="22"/>
          <w:lang w:val="en-US" w:eastAsia="zh-CN"/>
          <w14:textFill>
            <w14:solidFill>
              <w14:schemeClr w14:val="tx1"/>
            </w14:solidFill>
          </w14:textFill>
        </w:rPr>
        <w:t>国内首个电商商家“仅退款”第三方</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default"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"http://show.s.315.100ec.cn/" \t "https://www.100ec.cn/_blank" </w:instrTex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default" w:asciiTheme="minorEastAsia" w:hAnsiTheme="minorEastAsia" w:cstheme="minorEastAsia"/>
          <w:color w:val="000000" w:themeColor="text1"/>
          <w:sz w:val="22"/>
          <w:szCs w:val="22"/>
          <w:lang w:val="en-US" w:eastAsia="zh-CN"/>
          <w14:textFill>
            <w14:solidFill>
              <w14:schemeClr w14:val="tx1"/>
            </w14:solidFill>
          </w14:textFill>
        </w:rPr>
        <w:t>投诉</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r>
        <w:rPr>
          <w:rFonts w:hint="default" w:asciiTheme="minorEastAsia" w:hAnsiTheme="minorEastAsia" w:cstheme="minorEastAsia"/>
          <w:color w:val="000000" w:themeColor="text1"/>
          <w:sz w:val="22"/>
          <w:szCs w:val="22"/>
          <w:lang w:val="en-US" w:eastAsia="zh-CN"/>
          <w14:textFill>
            <w14:solidFill>
              <w14:schemeClr w14:val="tx1"/>
            </w14:solidFill>
          </w14:textFill>
        </w:rPr>
        <w:t>通道</w:t>
      </w:r>
      <w:r>
        <w:rPr>
          <w:rFonts w:hint="eastAsia" w:asciiTheme="minorEastAsia" w:hAnsiTheme="minorEastAsia" w:cstheme="minorEastAsia"/>
          <w:color w:val="000000" w:themeColor="text1"/>
          <w:sz w:val="22"/>
          <w:szCs w:val="22"/>
          <w:lang w:val="en-US" w:eastAsia="zh-CN"/>
          <w14:textFill>
            <w14:solidFill>
              <w14:schemeClr w14:val="tx1"/>
            </w14:solidFill>
          </w14:textFill>
        </w:rPr>
        <w:t>：</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begin"/>
      </w:r>
      <w:r>
        <w:rPr>
          <w:rFonts w:hint="default" w:asciiTheme="minorEastAsia" w:hAnsiTheme="minorEastAsia" w:cstheme="minorEastAsia"/>
          <w:color w:val="000000" w:themeColor="text1"/>
          <w:sz w:val="22"/>
          <w:szCs w:val="22"/>
          <w:lang w:val="en-US" w:eastAsia="zh-CN"/>
          <w14:textFill>
            <w14:solidFill>
              <w14:schemeClr w14:val="tx1"/>
            </w14:solidFill>
          </w14:textFill>
        </w:rPr>
        <w:instrText xml:space="preserve"> HYPERLINK "http://jtk.100ec.cn/" \t "https://www.100ec.cn/_self" </w:instrTex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separate"/>
      </w:r>
      <w:r>
        <w:rPr>
          <w:rFonts w:hint="default" w:asciiTheme="minorEastAsia" w:hAnsiTheme="minorEastAsia" w:cstheme="minorEastAsia"/>
          <w:color w:val="000000" w:themeColor="text1"/>
          <w:sz w:val="22"/>
          <w:szCs w:val="22"/>
          <w:lang w:val="en-US" w:eastAsia="zh-CN"/>
          <w14:textFill>
            <w14:solidFill>
              <w14:schemeClr w14:val="tx1"/>
            </w14:solidFill>
          </w14:textFill>
        </w:rPr>
        <w:t>JTK.100EC.CN</w:t>
      </w:r>
      <w:r>
        <w:rPr>
          <w:rFonts w:hint="default" w:asciiTheme="minorEastAsia" w:hAnsiTheme="minorEastAsia" w:cstheme="minorEastAsia"/>
          <w:color w:val="000000" w:themeColor="text1"/>
          <w:sz w:val="22"/>
          <w:szCs w:val="22"/>
          <w:lang w:val="en-US" w:eastAsia="zh-CN"/>
          <w14:textFill>
            <w14:solidFill>
              <w14:schemeClr w14:val="tx1"/>
            </w14:solidFill>
          </w14:textFill>
        </w:rPr>
        <w:fldChar w:fldCharType="end"/>
      </w:r>
    </w:p>
    <w:p>
      <w:pPr>
        <w:spacing w:beforeLines="50" w:line="360" w:lineRule="auto"/>
        <w:jc w:val="both"/>
        <w:rPr>
          <w:rFonts w:hint="eastAsia" w:asciiTheme="minorEastAsia" w:hAnsiTheme="minorEastAsia" w:cstheme="minorEastAsia"/>
          <w:color w:val="000000" w:themeColor="text1"/>
          <w:sz w:val="24"/>
          <w:lang w:val="en-US" w:eastAsia="zh-CN"/>
          <w14:textFill>
            <w14:solidFill>
              <w14:schemeClr w14:val="tx1"/>
            </w14:solidFill>
          </w14:textFill>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四、关于我们</w:t>
      </w:r>
    </w:p>
    <w:p>
      <w:pPr>
        <w:pStyle w:val="3"/>
      </w:pPr>
      <w:bookmarkStart w:id="17" w:name="_Toc3113"/>
      <w:bookmarkStart w:id="18" w:name="_Toc25785"/>
      <w:bookmarkStart w:id="19" w:name="_Toc28705"/>
      <w:bookmarkStart w:id="20" w:name="_Toc10589"/>
      <w:bookmarkStart w:id="21" w:name="_Toc21866"/>
      <w:bookmarkStart w:id="22" w:name="_Toc29794"/>
      <w:bookmarkStart w:id="23" w:name="_Toc24272"/>
      <w:bookmarkStart w:id="24" w:name="_Toc2953"/>
      <w:bookmarkStart w:id="25" w:name="_Toc16553"/>
      <w:bookmarkStart w:id="26" w:name="_Toc23921"/>
      <w:bookmarkStart w:id="27" w:name="_Toc15077"/>
      <w:bookmarkStart w:id="28" w:name="_Toc1104"/>
      <w:bookmarkStart w:id="29" w:name="_Toc28453"/>
      <w:bookmarkStart w:id="30" w:name="_Toc8817"/>
      <w:bookmarkStart w:id="31" w:name="_Toc23109"/>
      <w:bookmarkStart w:id="32" w:name="_Toc102659528"/>
      <w:bookmarkStart w:id="33" w:name="_Toc3632"/>
      <w:bookmarkStart w:id="34" w:name="_Toc18760"/>
      <w:r>
        <w:rPr>
          <w:rFonts w:hint="eastAsia"/>
        </w:rPr>
        <w:t>（一）关于</w:t>
      </w:r>
      <w:bookmarkEnd w:id="17"/>
      <w:r>
        <w:rPr>
          <w:rFonts w:hint="eastAsia"/>
        </w:rPr>
        <w:t>电诉宝</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spacing w:beforeLines="50" w:afterLines="50" w:line="360" w:lineRule="auto"/>
        <w:ind w:firstLine="480" w:firstLineChars="200"/>
      </w:pPr>
      <w:r>
        <w:rPr>
          <w:rFonts w:hint="eastAsia" w:ascii="宋体" w:hAnsi="宋体" w:eastAsia="宋体" w:cs="宋体"/>
          <w:sz w:val="24"/>
        </w:rPr>
        <w:t>国内知名网络消费纠纷调解平台</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315.100EC.CN）运行10余年来，与全国近千家网络消费平台建立对接，影响1亿+网络消费用户，新系统实现一键投诉、24h在线、自助维权、同步直达、实时处理、进度查询、评价体系、法律求助、大数据分析等诸多功能。目前，平台</w:t>
      </w:r>
      <w:r>
        <w:rPr>
          <w:rFonts w:hint="eastAsia" w:ascii="宋体" w:hAnsi="宋体" w:eastAsia="宋体" w:cs="宋体"/>
          <w:sz w:val="24"/>
          <w:lang w:eastAsia="zh-CN"/>
        </w:rPr>
        <w:t>“</w:t>
      </w:r>
      <w:r>
        <w:rPr>
          <w:rFonts w:hint="eastAsia" w:ascii="宋体" w:hAnsi="宋体" w:eastAsia="宋体" w:cs="宋体"/>
          <w:sz w:val="24"/>
        </w:rPr>
        <w:t>绿色通道</w:t>
      </w:r>
      <w:r>
        <w:rPr>
          <w:rFonts w:hint="eastAsia" w:ascii="宋体" w:hAnsi="宋体" w:eastAsia="宋体" w:cs="宋体"/>
          <w:sz w:val="24"/>
          <w:lang w:eastAsia="zh-CN"/>
        </w:rPr>
        <w:t>”</w:t>
      </w:r>
      <w:r>
        <w:rPr>
          <w:rFonts w:hint="eastAsia" w:ascii="宋体" w:hAnsi="宋体" w:eastAsia="宋体" w:cs="宋体"/>
          <w:sz w:val="24"/>
        </w:rPr>
        <w:t>服务向广大网络消费平台开放，各平台可自主申请入驻，实时受理、反馈和查询用户满意度评价。为了更好地营造公开、透明、健康的网络消费投诉环境，</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rPr>
        <w:t>电诉宝</w:t>
      </w:r>
      <w:r>
        <w:rPr>
          <w:rFonts w:hint="eastAsia" w:asciiTheme="minorEastAsia" w:hAnsiTheme="minorEastAsia" w:cstheme="minorEastAsia"/>
          <w:sz w:val="24"/>
          <w:lang w:eastAsia="zh-CN"/>
        </w:rPr>
        <w:t>”</w:t>
      </w:r>
      <w:r>
        <w:rPr>
          <w:rFonts w:hint="eastAsia" w:asciiTheme="minorEastAsia" w:hAnsiTheme="minorEastAsia" w:cstheme="minorEastAsia"/>
          <w:sz w:val="24"/>
        </w:rPr>
        <w:t>（网络消费纠纷调解平台；</w:t>
      </w:r>
      <w:r>
        <w:fldChar w:fldCharType="begin"/>
      </w:r>
      <w:r>
        <w:instrText xml:space="preserve"> HYPERLINK "file:///C:\\Users\\Administrator\\Desktop\\稿件\\315.100EC.CN" </w:instrText>
      </w:r>
      <w:r>
        <w:fldChar w:fldCharType="separate"/>
      </w:r>
      <w:r>
        <w:rPr>
          <w:rStyle w:val="15"/>
          <w:rFonts w:hint="eastAsia" w:asciiTheme="minorEastAsia" w:hAnsiTheme="minorEastAsia" w:cstheme="minorEastAsia"/>
          <w:sz w:val="24"/>
        </w:rPr>
        <w:t>315.100EC.CN</w:t>
      </w:r>
      <w:r>
        <w:rPr>
          <w:rStyle w:val="15"/>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w:t>
      </w:r>
      <w:r>
        <w:rPr>
          <w:rFonts w:hint="eastAsia" w:asciiTheme="minorEastAsia" w:hAnsiTheme="minorEastAsia" w:cstheme="minorEastAsia"/>
          <w:sz w:val="24"/>
          <w:lang w:eastAsia="zh-CN"/>
        </w:rPr>
        <w:t>“</w:t>
      </w:r>
      <w:r>
        <w:rPr>
          <w:rFonts w:hint="eastAsia" w:asciiTheme="minorEastAsia" w:hAnsiTheme="minorEastAsia" w:cstheme="minorEastAsia"/>
          <w:sz w:val="24"/>
        </w:rPr>
        <w:t>第三方电商投诉维权服务平台</w:t>
      </w:r>
      <w:r>
        <w:rPr>
          <w:rFonts w:hint="eastAsia" w:asciiTheme="minorEastAsia" w:hAnsiTheme="minorEastAsia" w:cstheme="minorEastAsia"/>
          <w:sz w:val="24"/>
          <w:lang w:eastAsia="zh-CN"/>
        </w:rPr>
        <w:t>”</w:t>
      </w:r>
      <w:r>
        <w:rPr>
          <w:rFonts w:hint="eastAsia" w:asciiTheme="minorEastAsia" w:hAnsiTheme="minorEastAsia" w:cstheme="minorEastAsia"/>
          <w:sz w:val="24"/>
        </w:rPr>
        <w:t>，并有20余名电商行业资深律师常年开展坐镇咨询与维权服务，平台投诉纠纷解决率在80%以上，深受全国各地网购用户信赖。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根据平台受理的客诉</w:t>
      </w:r>
      <w:r>
        <w:rPr>
          <w:rFonts w:hint="eastAsia" w:asciiTheme="minorEastAsia" w:hAnsiTheme="minorEastAsia" w:cstheme="minorEastAsia"/>
          <w:sz w:val="24"/>
          <w:lang w:eastAsia="zh-CN"/>
        </w:rPr>
        <w:t>“</w:t>
      </w:r>
      <w:r>
        <w:rPr>
          <w:rFonts w:hint="eastAsia" w:asciiTheme="minorEastAsia" w:hAnsiTheme="minorEastAsia" w:cstheme="minorEastAsia"/>
          <w:sz w:val="24"/>
        </w:rPr>
        <w:t>大数据</w:t>
      </w:r>
      <w:r>
        <w:rPr>
          <w:rFonts w:hint="eastAsia" w:asciiTheme="minorEastAsia" w:hAnsiTheme="minorEastAsia" w:cstheme="minorEastAsia"/>
          <w:sz w:val="24"/>
          <w:lang w:eastAsia="zh-CN"/>
        </w:rPr>
        <w:t>”</w:t>
      </w:r>
      <w:r>
        <w:rPr>
          <w:rFonts w:hint="eastAsia" w:asciiTheme="minorEastAsia" w:hAnsiTheme="minorEastAsia" w:cstheme="minorEastAsia"/>
          <w:sz w:val="24"/>
        </w:rPr>
        <w:t>和真实案例，每月度、季度、半年度、年度公开发布客观用户体验报告和相关榜单，已连续十余年发布，被业内视为</w:t>
      </w:r>
      <w:r>
        <w:rPr>
          <w:rFonts w:hint="eastAsia" w:asciiTheme="minorEastAsia" w:hAnsiTheme="minorEastAsia" w:cstheme="minorEastAsia"/>
          <w:sz w:val="24"/>
          <w:lang w:eastAsia="zh-CN"/>
        </w:rPr>
        <w:t>“</w:t>
      </w:r>
      <w:r>
        <w:rPr>
          <w:rFonts w:hint="eastAsia" w:asciiTheme="minorEastAsia" w:hAnsiTheme="minorEastAsia" w:cstheme="minorEastAsia"/>
          <w:sz w:val="24"/>
        </w:rPr>
        <w:t>电商315风向标</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w:t>
      </w:r>
      <w:r>
        <w:rPr>
          <w:rFonts w:hint="eastAsia" w:asciiTheme="minorEastAsia" w:hAnsiTheme="minorEastAsia" w:cstheme="minorEastAsia"/>
          <w:sz w:val="24"/>
          <w:lang w:eastAsia="zh-CN"/>
        </w:rPr>
        <w:t>“</w:t>
      </w:r>
      <w:r>
        <w:rPr>
          <w:rFonts w:hint="eastAsia" w:asciiTheme="minorEastAsia" w:hAnsiTheme="minorEastAsia" w:cstheme="minorEastAsia"/>
          <w:sz w:val="24"/>
        </w:rPr>
        <w:t>一键投诉</w:t>
      </w:r>
      <w:r>
        <w:rPr>
          <w:rFonts w:hint="eastAsia" w:asciiTheme="minorEastAsia" w:hAnsiTheme="minorEastAsia" w:cstheme="minorEastAsia"/>
          <w:sz w:val="24"/>
          <w:lang w:eastAsia="zh-CN"/>
        </w:rPr>
        <w:t>”</w:t>
      </w:r>
      <w:r>
        <w:rPr>
          <w:rFonts w:hint="eastAsia" w:asciiTheme="minorEastAsia" w:hAnsiTheme="minorEastAsia" w:cstheme="minorEastAsia"/>
          <w:sz w:val="24"/>
        </w:rPr>
        <w:t>、24h在线、自助维权、同步直达、实时处理、进度查询、满意度评价、律师坐堂法律求助，还有大数据分析功能，真正实现了</w:t>
      </w:r>
      <w:r>
        <w:rPr>
          <w:rFonts w:hint="eastAsia" w:asciiTheme="minorEastAsia" w:hAnsiTheme="minorEastAsia" w:cstheme="minorEastAsia"/>
          <w:sz w:val="24"/>
          <w:lang w:eastAsia="zh-CN"/>
        </w:rPr>
        <w:t>“</w:t>
      </w:r>
      <w:r>
        <w:rPr>
          <w:rFonts w:hint="eastAsia" w:asciiTheme="minorEastAsia" w:hAnsiTheme="minorEastAsia" w:cstheme="minorEastAsia"/>
          <w:sz w:val="24"/>
        </w:rPr>
        <w:t>天天315</w:t>
      </w:r>
      <w:r>
        <w:rPr>
          <w:rFonts w:hint="eastAsia" w:asciiTheme="minorEastAsia" w:hAnsiTheme="minorEastAsia" w:cstheme="minorEastAsia"/>
          <w:sz w:val="24"/>
          <w:lang w:eastAsia="zh-CN"/>
        </w:rPr>
        <w:t>”</w:t>
      </w:r>
      <w:r>
        <w:rPr>
          <w:rFonts w:hint="eastAsia" w:asciiTheme="minorEastAsia" w:hAnsiTheme="minorEastAsia" w:cstheme="minorEastAsia"/>
          <w:sz w:val="24"/>
        </w:rPr>
        <w:t>，成为千千万万电商用户的</w:t>
      </w:r>
      <w:r>
        <w:rPr>
          <w:rFonts w:hint="eastAsia" w:asciiTheme="minorEastAsia" w:hAnsiTheme="minorEastAsia" w:cstheme="minorEastAsia"/>
          <w:sz w:val="24"/>
          <w:lang w:eastAsia="zh-CN"/>
        </w:rPr>
        <w:t>“</w:t>
      </w:r>
      <w:r>
        <w:rPr>
          <w:rFonts w:hint="eastAsia" w:asciiTheme="minorEastAsia" w:hAnsiTheme="minorEastAsia" w:cstheme="minorEastAsia"/>
          <w:sz w:val="24"/>
        </w:rPr>
        <w:t>网购维权神器</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w:t>
      </w:r>
      <w:r>
        <w:rPr>
          <w:rFonts w:hint="eastAsia" w:asciiTheme="minorEastAsia" w:hAnsiTheme="minorEastAsia" w:cstheme="minorEastAsia"/>
          <w:sz w:val="24"/>
          <w:lang w:eastAsia="zh-CN"/>
        </w:rPr>
        <w:t>“</w:t>
      </w:r>
      <w:r>
        <w:rPr>
          <w:rFonts w:hint="eastAsia" w:asciiTheme="minorEastAsia" w:hAnsiTheme="minorEastAsia" w:cstheme="minorEastAsia"/>
          <w:sz w:val="24"/>
        </w:rPr>
        <w:t>绿色通道</w:t>
      </w:r>
      <w:r>
        <w:rPr>
          <w:rFonts w:hint="eastAsia" w:asciiTheme="minorEastAsia" w:hAnsiTheme="minorEastAsia" w:cstheme="minorEastAsia"/>
          <w:sz w:val="24"/>
          <w:lang w:eastAsia="zh-CN"/>
        </w:rPr>
        <w:t>”</w:t>
      </w:r>
      <w:r>
        <w:rPr>
          <w:rFonts w:hint="eastAsia" w:asciiTheme="minorEastAsia" w:hAnsiTheme="minorEastAsia" w:cstheme="minorEastAsia"/>
          <w:sz w:val="24"/>
        </w:rPr>
        <w:t>服务向广大电商平台开放，电商可自主申请入驻，实时受理、反馈和查询用户满意度评价。</w:t>
      </w:r>
    </w:p>
    <w:p>
      <w:pPr>
        <w:spacing w:beforeLines="50" w:afterLines="50" w:line="360" w:lineRule="auto"/>
      </w:pPr>
      <w:r>
        <w:drawing>
          <wp:inline distT="0" distB="0" distL="114300" distR="114300">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5265420" cy="6941185"/>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公开版于2020年7月1日正式上线，</w:t>
      </w:r>
      <w:r>
        <w:rPr>
          <w:rStyle w:val="14"/>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pPr>
      <w:r>
        <w:drawing>
          <wp:inline distT="0" distB="0" distL="114300" distR="114300">
            <wp:extent cx="5269865" cy="4695190"/>
            <wp:effectExtent l="0" t="0" r="698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5" cstate="print"/>
                    <a:stretch>
                      <a:fillRect/>
                    </a:stretch>
                  </pic:blipFill>
                  <pic:spPr>
                    <a:xfrm>
                      <a:off x="0" y="0"/>
                      <a:ext cx="5269865" cy="4695190"/>
                    </a:xfrm>
                    <a:prstGeom prst="rect">
                      <a:avLst/>
                    </a:prstGeom>
                    <a:noFill/>
                    <a:ln>
                      <a:noFill/>
                    </a:ln>
                  </pic:spPr>
                </pic:pic>
              </a:graphicData>
            </a:graphic>
          </wp:inline>
        </w:drawing>
      </w:r>
    </w:p>
    <w:p>
      <w:pPr>
        <w:pStyle w:val="3"/>
        <w:rPr>
          <w:rFonts w:asciiTheme="minorEastAsia" w:hAnsiTheme="minorEastAsia" w:cstheme="minorEastAsia"/>
          <w:szCs w:val="28"/>
        </w:rPr>
      </w:pPr>
      <w:bookmarkStart w:id="35" w:name="_Toc13799"/>
      <w:bookmarkStart w:id="36" w:name="_Toc352"/>
      <w:bookmarkStart w:id="37" w:name="_Toc28892"/>
      <w:bookmarkStart w:id="38" w:name="_Toc32176"/>
      <w:bookmarkStart w:id="39" w:name="_Toc2152"/>
      <w:bookmarkStart w:id="40" w:name="_Toc8017"/>
      <w:bookmarkStart w:id="41" w:name="_Toc14641"/>
      <w:bookmarkStart w:id="42" w:name="_Toc11744"/>
      <w:bookmarkStart w:id="43" w:name="_Toc10978"/>
      <w:bookmarkStart w:id="44" w:name="_Toc8999"/>
      <w:bookmarkStart w:id="45" w:name="_Toc32497"/>
      <w:bookmarkStart w:id="46" w:name="_Toc4676"/>
      <w:bookmarkStart w:id="47" w:name="_Toc102659529"/>
      <w:bookmarkStart w:id="48" w:name="_Toc21023"/>
      <w:bookmarkStart w:id="49" w:name="_Toc29763"/>
      <w:bookmarkStart w:id="50" w:name="_Toc26824"/>
      <w:bookmarkStart w:id="51" w:name="_Toc22876"/>
      <w:bookmarkStart w:id="52" w:name="_Toc10161"/>
      <w:r>
        <w:rPr>
          <w:rFonts w:hint="eastAsia" w:asciiTheme="minorEastAsia" w:hAnsiTheme="minorEastAsia" w:cstheme="minorEastAsia"/>
          <w:szCs w:val="28"/>
        </w:rPr>
        <w:t>（二）关于网经社</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beforeLines="50" w:line="360" w:lineRule="auto"/>
        <w:ind w:firstLine="480" w:firstLineChars="200"/>
        <w:jc w:val="left"/>
        <w:rPr>
          <w:rFonts w:ascii="宋体" w:hAnsi="宋体" w:eastAsia="宋体" w:cs="宋体"/>
          <w:sz w:val="24"/>
        </w:rPr>
      </w:pPr>
      <w:bookmarkStart w:id="53" w:name="_Toc9734"/>
      <w:bookmarkStart w:id="54" w:name="_Toc5396"/>
      <w:bookmarkStart w:id="55" w:name="_Toc8331"/>
      <w:bookmarkStart w:id="56" w:name="_Toc12775"/>
      <w:bookmarkStart w:id="57" w:name="_Toc22227"/>
      <w:bookmarkStart w:id="58" w:name="_Toc14729"/>
      <w:bookmarkStart w:id="59" w:name="_Toc11058"/>
      <w:r>
        <w:rPr>
          <w:rFonts w:hint="eastAsia" w:ascii="宋体" w:hAnsi="宋体" w:eastAsia="宋体" w:cs="宋体"/>
          <w:sz w:val="24"/>
        </w:rPr>
        <w:t>浙江网经社信息科技公司拥有1</w:t>
      </w:r>
      <w:r>
        <w:rPr>
          <w:rFonts w:hint="eastAsia" w:ascii="宋体" w:hAnsi="宋体" w:eastAsia="宋体" w:cs="宋体"/>
          <w:sz w:val="24"/>
          <w:lang w:val="en-US" w:eastAsia="zh-CN"/>
        </w:rPr>
        <w:t>7</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(C端)、网盛</w:t>
      </w:r>
      <w:r>
        <w:rPr>
          <w:rFonts w:ascii="宋体" w:hAnsi="宋体" w:eastAsia="宋体" w:cs="宋体"/>
          <w:b/>
          <w:sz w:val="24"/>
        </w:rPr>
        <w:t>消费品电商供应链金融服务中心</w:t>
      </w:r>
      <w:r>
        <w:rPr>
          <w:rFonts w:hint="eastAsia" w:ascii="宋体" w:hAnsi="宋体" w:eastAsia="宋体" w:cs="宋体"/>
          <w:b/>
          <w:sz w:val="24"/>
        </w:rPr>
        <w:t>（金融）</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230495" cy="3672205"/>
            <wp:effectExtent l="0" t="0" r="8255" b="444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6"/>
                    <a:stretch>
                      <a:fillRect/>
                    </a:stretch>
                  </pic:blipFill>
                  <pic:spPr>
                    <a:xfrm>
                      <a:off x="0" y="0"/>
                      <a:ext cx="5230495" cy="3672205"/>
                    </a:xfrm>
                    <a:prstGeom prst="rect">
                      <a:avLst/>
                    </a:prstGeom>
                    <a:noFill/>
                    <a:ln w="9525">
                      <a:noFill/>
                    </a:ln>
                  </pic:spPr>
                </pic:pic>
              </a:graphicData>
            </a:graphic>
          </wp:inline>
        </w:drawing>
      </w:r>
    </w:p>
    <w:p>
      <w:pPr>
        <w:spacing w:beforeLines="50" w:line="360" w:lineRule="auto"/>
        <w:ind w:firstLine="480" w:firstLineChars="200"/>
        <w:rPr>
          <w:rFonts w:ascii="宋体" w:hAnsi="宋体" w:eastAsia="宋体" w:cs="宋体"/>
          <w:sz w:val="24"/>
        </w:rPr>
      </w:pPr>
      <w:r>
        <w:rPr>
          <w:rFonts w:ascii="宋体" w:hAnsi="宋体" w:eastAsia="宋体" w:cs="宋体"/>
          <w:sz w:val="24"/>
        </w:rPr>
        <w:t>具体服务包括：向平台企业基于网经社数字经济门户、</w:t>
      </w:r>
      <w:r>
        <w:fldChar w:fldCharType="begin"/>
      </w:r>
      <w:r>
        <w:instrText xml:space="preserve"> HYPERLINK "http://www.100ec.cn/zt/hlwsw/" \t "_blank" </w:instrText>
      </w:r>
      <w:r>
        <w:fldChar w:fldCharType="separate"/>
      </w:r>
      <w:r>
        <w:rPr>
          <w:rFonts w:ascii="宋体" w:hAnsi="宋体" w:eastAsia="宋体" w:cs="宋体"/>
          <w:sz w:val="24"/>
        </w:rPr>
        <w:t>自</w:t>
      </w:r>
      <w:r>
        <w:rPr>
          <w:rFonts w:ascii="宋体" w:hAnsi="宋体" w:eastAsia="宋体" w:cs="宋体"/>
          <w:sz w:val="24"/>
        </w:rPr>
        <w:fldChar w:fldCharType="end"/>
      </w:r>
      <w:r>
        <w:fldChar w:fldCharType="begin"/>
      </w:r>
      <w:r>
        <w:instrText xml:space="preserve"> HYPERLINK "http://www.100ec.cn/zt/jz/" \t "_blank" </w:instrText>
      </w:r>
      <w:r>
        <w:fldChar w:fldCharType="separate"/>
      </w:r>
      <w:r>
        <w:rPr>
          <w:rFonts w:ascii="宋体" w:hAnsi="宋体" w:eastAsia="宋体" w:cs="宋体"/>
          <w:sz w:val="24"/>
        </w:rPr>
        <w:t>媒体</w:t>
      </w:r>
      <w:r>
        <w:rPr>
          <w:rFonts w:ascii="宋体" w:hAnsi="宋体" w:eastAsia="宋体" w:cs="宋体"/>
          <w:sz w:val="24"/>
        </w:rPr>
        <w:fldChar w:fldCharType="end"/>
      </w:r>
      <w:r>
        <w:rPr>
          <w:rFonts w:ascii="宋体" w:hAnsi="宋体" w:eastAsia="宋体" w:cs="宋体"/>
          <w:sz w:val="24"/>
        </w:rPr>
        <w:t>&amp;社群矩阵、媒公宝（3000人</w:t>
      </w:r>
      <w:r>
        <w:fldChar w:fldCharType="begin"/>
      </w:r>
      <w:r>
        <w:instrText xml:space="preserve"> HYPERLINK "http://www.100ec.cn/zt/jz/" \t "_blank" </w:instrText>
      </w:r>
      <w:r>
        <w:fldChar w:fldCharType="separate"/>
      </w:r>
      <w:r>
        <w:rPr>
          <w:rFonts w:ascii="宋体" w:hAnsi="宋体" w:eastAsia="宋体" w:cs="宋体"/>
          <w:sz w:val="24"/>
        </w:rPr>
        <w:t>记者</w:t>
      </w:r>
      <w:r>
        <w:rPr>
          <w:rFonts w:ascii="宋体" w:hAnsi="宋体" w:eastAsia="宋体" w:cs="宋体"/>
          <w:sz w:val="24"/>
        </w:rPr>
        <w:fldChar w:fldCharType="end"/>
      </w:r>
      <w:r>
        <w:rPr>
          <w:rFonts w:ascii="宋体" w:hAnsi="宋体" w:eastAsia="宋体" w:cs="宋体"/>
          <w:sz w:val="24"/>
        </w:rPr>
        <w:t>库）提供媒体传播业务为核心的品牌服务；向政府机构基于互联网行业内唯一一家</w:t>
      </w:r>
      <w:r>
        <w:fldChar w:fldCharType="begin"/>
      </w:r>
      <w:r>
        <w:instrText xml:space="preserve"> HYPERLINK "http://www.100ec.cn/zt/zf/" \t "_blank" </w:instrText>
      </w:r>
      <w:r>
        <w:fldChar w:fldCharType="separate"/>
      </w:r>
      <w:r>
        <w:rPr>
          <w:rFonts w:ascii="宋体" w:hAnsi="宋体" w:eastAsia="宋体" w:cs="宋体"/>
          <w:sz w:val="24"/>
        </w:rPr>
        <w:t>国家发改委</w:t>
      </w:r>
      <w:r>
        <w:rPr>
          <w:rFonts w:ascii="宋体" w:hAnsi="宋体" w:eastAsia="宋体" w:cs="宋体"/>
          <w:sz w:val="24"/>
        </w:rPr>
        <w:fldChar w:fldCharType="end"/>
      </w:r>
      <w:r>
        <w:rPr>
          <w:rFonts w:ascii="宋体" w:hAnsi="宋体" w:eastAsia="宋体" w:cs="宋体"/>
          <w:sz w:val="24"/>
        </w:rPr>
        <w:t>认定的</w:t>
      </w:r>
      <w:r>
        <w:rPr>
          <w:rFonts w:hint="eastAsia" w:ascii="宋体" w:hAnsi="宋体" w:eastAsia="宋体" w:cs="宋体"/>
          <w:sz w:val="24"/>
          <w:lang w:eastAsia="zh-CN"/>
        </w:rPr>
        <w:t>“</w:t>
      </w:r>
      <w:r>
        <w:rPr>
          <w:rFonts w:ascii="宋体" w:hAnsi="宋体" w:eastAsia="宋体" w:cs="宋体"/>
          <w:sz w:val="24"/>
        </w:rPr>
        <w:t>一带一路</w:t>
      </w:r>
      <w:r>
        <w:rPr>
          <w:rFonts w:hint="eastAsia" w:ascii="宋体" w:hAnsi="宋体" w:eastAsia="宋体" w:cs="宋体"/>
          <w:sz w:val="24"/>
          <w:lang w:eastAsia="zh-CN"/>
        </w:rPr>
        <w:t>”</w:t>
      </w:r>
      <w:r>
        <w:rPr>
          <w:rFonts w:ascii="宋体" w:hAnsi="宋体" w:eastAsia="宋体" w:cs="宋体"/>
          <w:sz w:val="24"/>
        </w:rPr>
        <w:t>TOP10影响力社会</w:t>
      </w:r>
      <w:r>
        <w:fldChar w:fldCharType="begin"/>
      </w:r>
      <w:r>
        <w:instrText xml:space="preserve"> HYPERLINK "http://www.100ec.cn/zt/dszx/" \t "_blank" </w:instrText>
      </w:r>
      <w:r>
        <w:fldChar w:fldCharType="separate"/>
      </w:r>
      <w:r>
        <w:rPr>
          <w:rFonts w:ascii="宋体" w:hAnsi="宋体" w:eastAsia="宋体" w:cs="宋体"/>
          <w:sz w:val="24"/>
        </w:rPr>
        <w:t>智库</w:t>
      </w:r>
      <w:r>
        <w:rPr>
          <w:rFonts w:ascii="宋体" w:hAnsi="宋体" w:eastAsia="宋体" w:cs="宋体"/>
          <w:sz w:val="24"/>
        </w:rPr>
        <w:fldChar w:fldCharType="end"/>
      </w:r>
      <w:r>
        <w:rPr>
          <w:rFonts w:hint="eastAsia" w:ascii="宋体" w:hAnsi="宋体" w:eastAsia="宋体" w:cs="宋体"/>
          <w:sz w:val="24"/>
          <w:lang w:eastAsia="zh-CN"/>
        </w:rPr>
        <w:t>“</w:t>
      </w:r>
      <w:r>
        <w:rPr>
          <w:rFonts w:ascii="宋体" w:hAnsi="宋体" w:eastAsia="宋体" w:cs="宋体"/>
          <w:sz w:val="24"/>
        </w:rPr>
        <w:t>网经社电子商务研究中心</w:t>
      </w:r>
      <w:r>
        <w:rPr>
          <w:rFonts w:hint="eastAsia" w:ascii="宋体" w:hAnsi="宋体" w:eastAsia="宋体" w:cs="宋体"/>
          <w:sz w:val="24"/>
          <w:lang w:eastAsia="zh-CN"/>
        </w:rPr>
        <w:t>”</w:t>
      </w:r>
      <w:r>
        <w:rPr>
          <w:rFonts w:ascii="宋体" w:hAnsi="宋体" w:eastAsia="宋体" w:cs="宋体"/>
          <w:sz w:val="24"/>
        </w:rPr>
        <w:t>提供研究资讯为核心的智库服务；向创业公司基于</w:t>
      </w:r>
      <w:r>
        <w:rPr>
          <w:rFonts w:hint="eastAsia" w:ascii="宋体" w:hAnsi="宋体" w:eastAsia="宋体" w:cs="宋体"/>
          <w:sz w:val="24"/>
          <w:lang w:eastAsia="zh-CN"/>
        </w:rPr>
        <w:t>“</w:t>
      </w:r>
      <w:r>
        <w:rPr>
          <w:rFonts w:hint="eastAsia" w:ascii="宋体" w:hAnsi="宋体" w:eastAsia="宋体" w:cs="宋体"/>
          <w:sz w:val="24"/>
          <w:lang w:val="en-US" w:eastAsia="zh-CN"/>
        </w:rPr>
        <w:t>网经社投融资中心</w:t>
      </w:r>
      <w:r>
        <w:rPr>
          <w:rFonts w:hint="eastAsia" w:ascii="宋体" w:hAnsi="宋体" w:eastAsia="宋体" w:cs="宋体"/>
          <w:sz w:val="24"/>
          <w:lang w:eastAsia="zh-CN"/>
        </w:rPr>
        <w:t>”</w:t>
      </w:r>
      <w:r>
        <w:rPr>
          <w:rFonts w:ascii="宋体" w:hAnsi="宋体" w:eastAsia="宋体" w:cs="宋体"/>
          <w:sz w:val="24"/>
        </w:rPr>
        <w:t>20000+投资者库提供FA服务</w:t>
      </w:r>
      <w:r>
        <w:rPr>
          <w:rFonts w:hint="eastAsia" w:ascii="宋体" w:hAnsi="宋体" w:eastAsia="宋体" w:cs="宋体"/>
          <w:sz w:val="24"/>
          <w:lang w:val="en-US" w:eastAsia="zh-CN"/>
        </w:rPr>
        <w:t>以及为渠道方、商家提供“千电万商”生态圈服务</w:t>
      </w:r>
      <w:r>
        <w:rPr>
          <w:rFonts w:ascii="宋体" w:hAnsi="宋体" w:eastAsia="宋体" w:cs="宋体"/>
          <w:sz w:val="24"/>
        </w:rPr>
        <w:t>。</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noChangeArrowheads="1"/>
                    </pic:cNvPicPr>
                  </pic:nvPicPr>
                  <pic:blipFill>
                    <a:blip r:embed="rId17"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7"/>
        <w:bidi w:val="0"/>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1"/>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w:t>
      </w:r>
      <w:r>
        <w:rPr>
          <w:rFonts w:hint="eastAsia" w:ascii="宋体" w:hAnsi="宋体" w:cs="宋体"/>
          <w:b/>
          <w:kern w:val="0"/>
          <w:sz w:val="24"/>
          <w:lang w:eastAsia="zh-CN"/>
        </w:rPr>
        <w:t>“</w:t>
      </w:r>
      <w:r>
        <w:rPr>
          <w:rFonts w:hint="eastAsia" w:ascii="宋体" w:hAnsi="宋体" w:cs="宋体"/>
          <w:b/>
          <w:kern w:val="0"/>
          <w:sz w:val="24"/>
        </w:rPr>
        <w:t>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ascii="宋体" w:hAnsi="宋体" w:eastAsia="宋体" w:cs="宋体"/>
          <w:b/>
          <w:bCs/>
          <w:sz w:val="24"/>
          <w:szCs w:val="24"/>
        </w:rPr>
        <w:t>2024年</w:t>
      </w:r>
      <w:r>
        <w:rPr>
          <w:rFonts w:hint="eastAsia" w:ascii="宋体" w:hAnsi="宋体" w:eastAsia="宋体" w:cs="宋体"/>
          <w:b/>
          <w:bCs/>
          <w:sz w:val="24"/>
          <w:szCs w:val="24"/>
          <w:lang w:val="en-US" w:eastAsia="zh-CN"/>
        </w:rPr>
        <w:t>“双11期间”</w:t>
      </w:r>
      <w:r>
        <w:rPr>
          <w:rFonts w:ascii="宋体" w:hAnsi="宋体" w:eastAsia="宋体" w:cs="宋体"/>
          <w:b/>
          <w:bCs/>
          <w:sz w:val="24"/>
          <w:szCs w:val="24"/>
        </w:rPr>
        <w:t>中国电子商务商家投诉数据报告</w:t>
      </w:r>
      <w:r>
        <w:rPr>
          <w:rFonts w:hint="eastAsia" w:asciiTheme="minorEastAsia" w:hAnsiTheme="minorEastAsia" w:cstheme="minorEastAsia"/>
          <w:b/>
          <w:color w:val="000000" w:themeColor="text1"/>
          <w:sz w:val="24"/>
          <w14:textFill>
            <w14:solidFill>
              <w14:schemeClr w14:val="tx1"/>
            </w14:solidFill>
          </w14:textFill>
        </w:rPr>
        <w:t>》</w:t>
      </w:r>
      <w:r>
        <w:rPr>
          <w:rFonts w:hint="eastAsia" w:ascii="宋体" w:hAnsi="宋体" w:cs="宋体"/>
          <w:b/>
          <w:color w:val="000000" w:themeColor="text1"/>
          <w:kern w:val="0"/>
          <w:sz w:val="24"/>
          <w:lang w:eastAsia="zh-CN"/>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widowControl/>
        <w:spacing w:beforeLines="50" w:line="360" w:lineRule="auto"/>
        <w:ind w:firstLine="480"/>
        <w:jc w:val="left"/>
        <w:rPr>
          <w:rFonts w:ascii="宋体" w:hAnsi="宋体" w:cs="宋体"/>
          <w:sz w:val="24"/>
        </w:rPr>
      </w:pPr>
    </w:p>
    <w:p>
      <w:pPr>
        <w:spacing w:line="360" w:lineRule="auto"/>
        <w:ind w:firstLine="482"/>
        <w:jc w:val="right"/>
        <w:outlineLvl w:val="1"/>
        <w:rPr>
          <w:rFonts w:ascii="宋体" w:hAnsi="宋体" w:cs="宋体"/>
          <w:b/>
          <w:bCs/>
          <w:sz w:val="28"/>
          <w:szCs w:val="28"/>
        </w:rPr>
      </w:pPr>
      <w:bookmarkStart w:id="60" w:name="_Toc6977"/>
      <w:bookmarkStart w:id="61" w:name="_Toc16370"/>
      <w:bookmarkStart w:id="62" w:name="_Toc14637"/>
      <w:bookmarkStart w:id="63" w:name="_Toc24469"/>
      <w:bookmarkStart w:id="64" w:name="_Toc31781"/>
      <w:bookmarkStart w:id="65" w:name="_Toc1123"/>
      <w:bookmarkStart w:id="66" w:name="_Toc11384"/>
      <w:bookmarkStart w:id="67" w:name="_Toc22932"/>
      <w:bookmarkStart w:id="68" w:name="_Toc25067"/>
      <w:bookmarkStart w:id="69" w:name="_Toc16859"/>
      <w:bookmarkStart w:id="70" w:name="_Toc21964"/>
      <w:bookmarkStart w:id="71" w:name="_Toc12878"/>
      <w:bookmarkStart w:id="72" w:name="_Toc21512"/>
      <w:bookmarkStart w:id="73" w:name="_Toc2264"/>
      <w:bookmarkStart w:id="74" w:name="_Toc24312"/>
      <w:bookmarkStart w:id="75" w:name="_Toc17041"/>
      <w:bookmarkStart w:id="76" w:name="_Toc18850"/>
      <w:bookmarkStart w:id="77" w:name="_Toc30814"/>
      <w:bookmarkStart w:id="78" w:name="_Toc10799"/>
      <w:bookmarkStart w:id="79" w:name="_Toc13390"/>
      <w:bookmarkStart w:id="80" w:name="_Toc4658"/>
      <w:bookmarkStart w:id="81" w:name="_Toc24557"/>
      <w:bookmarkStart w:id="82" w:name="_Toc1691"/>
      <w:bookmarkStart w:id="83" w:name="_Toc102659530"/>
      <w:bookmarkStart w:id="84" w:name="_Toc26410"/>
      <w:bookmarkStart w:id="85" w:name="_Toc27093"/>
      <w:r>
        <w:rPr>
          <w:rFonts w:hint="eastAsia" w:ascii="宋体" w:hAnsi="宋体" w:cs="宋体"/>
          <w:b/>
          <w:bCs/>
          <w:sz w:val="28"/>
          <w:szCs w:val="28"/>
        </w:rPr>
        <w:t>报告发布：网经社电子商务研究中心</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wordWrap w:val="0"/>
        <w:spacing w:line="360" w:lineRule="auto"/>
        <w:ind w:firstLine="482"/>
        <w:jc w:val="right"/>
        <w:outlineLvl w:val="1"/>
        <w:rPr>
          <w:rStyle w:val="14"/>
          <w:rFonts w:ascii="微软雅黑" w:hAnsi="微软雅黑" w:cs="微软雅黑"/>
          <w:color w:val="C00000"/>
          <w:sz w:val="28"/>
          <w:szCs w:val="28"/>
        </w:rPr>
      </w:pPr>
      <w:bookmarkStart w:id="86" w:name="_Toc26158"/>
      <w:bookmarkStart w:id="87" w:name="_Toc10340"/>
      <w:bookmarkStart w:id="88" w:name="_Toc13308"/>
      <w:bookmarkStart w:id="89" w:name="_Toc17860"/>
      <w:bookmarkStart w:id="90" w:name="_Toc11147"/>
      <w:bookmarkStart w:id="91" w:name="_Toc8948"/>
      <w:bookmarkStart w:id="92" w:name="_Toc1018"/>
      <w:bookmarkStart w:id="93" w:name="_Toc32754"/>
      <w:bookmarkStart w:id="94" w:name="_Toc3695"/>
      <w:bookmarkStart w:id="95" w:name="_Toc30660"/>
      <w:bookmarkStart w:id="96" w:name="_Toc11602"/>
      <w:bookmarkStart w:id="97" w:name="_Toc17877"/>
      <w:bookmarkStart w:id="98" w:name="_Toc29828"/>
      <w:bookmarkStart w:id="99" w:name="_Toc27361"/>
      <w:bookmarkStart w:id="100" w:name="_Toc9613"/>
      <w:bookmarkStart w:id="101" w:name="_Toc15503"/>
      <w:bookmarkStart w:id="102" w:name="_Toc1221"/>
      <w:bookmarkStart w:id="103" w:name="_Toc15606"/>
      <w:bookmarkStart w:id="104" w:name="_Toc13591"/>
      <w:bookmarkStart w:id="105" w:name="_Toc32066"/>
      <w:bookmarkStart w:id="106" w:name="_Toc20008"/>
      <w:bookmarkStart w:id="107" w:name="_Toc15190"/>
      <w:bookmarkStart w:id="108" w:name="_Toc32183"/>
      <w:bookmarkStart w:id="109" w:name="_Toc11142"/>
      <w:bookmarkStart w:id="110" w:name="_Toc24934"/>
      <w:bookmarkStart w:id="111" w:name="_Toc21341"/>
      <w:bookmarkStart w:id="112" w:name="_Toc10921"/>
      <w:bookmarkStart w:id="113" w:name="_Toc29568"/>
      <w:bookmarkStart w:id="114" w:name="_Toc23535"/>
      <w:bookmarkStart w:id="115" w:name="_Toc17132"/>
      <w:bookmarkStart w:id="116" w:name="_Toc5381"/>
      <w:bookmarkStart w:id="117" w:name="_Toc11282"/>
      <w:bookmarkStart w:id="118" w:name="_Toc102659531"/>
      <w:r>
        <w:rPr>
          <w:rFonts w:hint="eastAsia" w:ascii="宋体" w:hAnsi="宋体" w:cs="宋体"/>
          <w:b/>
          <w:bCs/>
          <w:sz w:val="28"/>
          <w:szCs w:val="28"/>
        </w:rPr>
        <w:t>发布时间</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hint="eastAsia" w:ascii="宋体" w:hAnsi="宋体" w:cs="宋体"/>
          <w:b/>
          <w:bCs/>
          <w:sz w:val="28"/>
          <w:szCs w:val="28"/>
        </w:rPr>
        <w:t>：202</w:t>
      </w:r>
      <w:r>
        <w:rPr>
          <w:rFonts w:hint="eastAsia" w:ascii="宋体" w:hAnsi="宋体" w:cs="宋体"/>
          <w:b/>
          <w:bCs/>
          <w:sz w:val="28"/>
          <w:szCs w:val="28"/>
          <w:lang w:val="en-US" w:eastAsia="zh-CN"/>
        </w:rPr>
        <w:t>4</w:t>
      </w:r>
      <w:r>
        <w:rPr>
          <w:rFonts w:hint="eastAsia" w:ascii="宋体" w:hAnsi="宋体" w:cs="宋体"/>
          <w:b/>
          <w:bCs/>
          <w:sz w:val="28"/>
          <w:szCs w:val="28"/>
        </w:rPr>
        <w:t>年</w:t>
      </w:r>
      <w:bookmarkEnd w:id="109"/>
      <w:bookmarkEnd w:id="110"/>
      <w:bookmarkEnd w:id="111"/>
      <w:bookmarkEnd w:id="112"/>
      <w:bookmarkEnd w:id="113"/>
      <w:bookmarkEnd w:id="114"/>
      <w:bookmarkEnd w:id="115"/>
      <w:bookmarkEnd w:id="116"/>
      <w:bookmarkEnd w:id="117"/>
      <w:r>
        <w:rPr>
          <w:rFonts w:hint="eastAsia" w:ascii="宋体" w:hAnsi="宋体" w:cs="宋体"/>
          <w:b/>
          <w:bCs/>
          <w:sz w:val="28"/>
          <w:szCs w:val="28"/>
          <w:lang w:val="en-US" w:eastAsia="zh-CN"/>
        </w:rPr>
        <w:t>12</w:t>
      </w:r>
      <w:r>
        <w:rPr>
          <w:rFonts w:hint="eastAsia" w:ascii="宋体" w:hAnsi="宋体" w:cs="宋体"/>
          <w:b/>
          <w:bCs/>
          <w:sz w:val="28"/>
          <w:szCs w:val="28"/>
        </w:rPr>
        <w:t>月</w:t>
      </w:r>
      <w:r>
        <w:rPr>
          <w:rFonts w:hint="eastAsia" w:ascii="宋体" w:hAnsi="宋体" w:cs="宋体"/>
          <w:b/>
          <w:bCs/>
          <w:sz w:val="28"/>
          <w:szCs w:val="28"/>
          <w:lang w:val="en-US" w:eastAsia="zh-CN"/>
        </w:rPr>
        <w:t>3</w:t>
      </w:r>
      <w:r>
        <w:rPr>
          <w:rFonts w:hint="eastAsia" w:ascii="宋体" w:hAnsi="宋体" w:cs="宋体"/>
          <w:b/>
          <w:bCs/>
          <w:sz w:val="28"/>
          <w:szCs w:val="28"/>
        </w:rPr>
        <w:t>日</w:t>
      </w:r>
      <w:bookmarkEnd w:id="118"/>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4"/>
          <w:rFonts w:ascii="微软雅黑" w:hAnsi="微软雅黑" w:eastAsia="微软雅黑" w:cs="微软雅黑"/>
          <w:color w:val="5B9BD5" w:themeColor="accent1"/>
          <w:sz w:val="28"/>
          <w:szCs w:val="28"/>
          <w14:textFill>
            <w14:solidFill>
              <w14:schemeClr w14:val="accent1"/>
            </w14:solidFill>
          </w14:textFill>
        </w:rPr>
      </w:pPr>
    </w:p>
    <w:p>
      <w:pPr>
        <w:spacing w:beforeLines="50" w:line="240" w:lineRule="auto"/>
        <w:outlineLvl w:val="1"/>
        <w:rPr>
          <w:rStyle w:val="14"/>
          <w:rFonts w:ascii="微软雅黑" w:hAnsi="微软雅黑" w:eastAsia="微软雅黑" w:cs="微软雅黑"/>
          <w:bCs/>
          <w:color w:val="5B9BD5" w:themeColor="accent1"/>
          <w:sz w:val="28"/>
          <w:szCs w:val="28"/>
          <w14:textFill>
            <w14:solidFill>
              <w14:schemeClr w14:val="accent1"/>
            </w14:solidFill>
          </w14:textFill>
        </w:rPr>
      </w:pPr>
      <w:bookmarkStart w:id="119" w:name="_Toc18918"/>
      <w:bookmarkStart w:id="120" w:name="_Toc26390"/>
      <w:bookmarkStart w:id="121" w:name="_Toc22856"/>
      <w:bookmarkStart w:id="122" w:name="_Toc20146"/>
      <w:bookmarkStart w:id="123" w:name="_Toc20860"/>
      <w:bookmarkStart w:id="124" w:name="_Toc6588"/>
      <w:bookmarkStart w:id="125" w:name="_Toc11112"/>
      <w:bookmarkStart w:id="126" w:name="_Toc10893"/>
      <w:bookmarkStart w:id="127" w:name="_Toc16563"/>
      <w:bookmarkStart w:id="128" w:name="_Toc3659"/>
      <w:bookmarkStart w:id="129" w:name="_Toc25790"/>
      <w:bookmarkStart w:id="130" w:name="_Toc5429"/>
      <w:bookmarkStart w:id="131" w:name="_Toc24167"/>
      <w:bookmarkStart w:id="132" w:name="_Toc26039"/>
      <w:bookmarkStart w:id="133" w:name="_Toc9748"/>
      <w:bookmarkStart w:id="134" w:name="_Toc12631"/>
      <w:bookmarkStart w:id="135" w:name="_Toc21832"/>
      <w:bookmarkStart w:id="136" w:name="_Toc14425"/>
      <w:bookmarkStart w:id="137" w:name="_Toc13315"/>
      <w:bookmarkStart w:id="138" w:name="_Toc7520"/>
      <w:bookmarkStart w:id="139" w:name="_Toc21943"/>
      <w:bookmarkStart w:id="140" w:name="_Toc102659532"/>
      <w:r>
        <w:rPr>
          <w:rStyle w:val="14"/>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spacing w:beforeLines="50" w:line="240" w:lineRule="auto"/>
        <w:ind w:firstLine="211" w:firstLineChars="100"/>
        <w:rPr>
          <w:rFonts w:asciiTheme="minorEastAsia" w:hAnsiTheme="minorEastAsia" w:cstheme="minorEastAsia"/>
          <w:b/>
          <w:bCs/>
          <w:color w:val="5B9BD5" w:themeColor="accent1"/>
          <w:szCs w:val="21"/>
          <w14:textFill>
            <w14:solidFill>
              <w14:schemeClr w14:val="accent1"/>
            </w14:solidFill>
          </w14:textFill>
        </w:rPr>
      </w:pPr>
      <w:r>
        <w:rPr>
          <w:rStyle w:val="14"/>
          <w:rFonts w:hint="eastAsia" w:asciiTheme="minorEastAsia" w:hAnsiTheme="minorEastAsia" w:cstheme="minorEastAsia"/>
          <w:color w:val="5B9BD5" w:themeColor="accent1"/>
          <w:szCs w:val="21"/>
          <w14:textFill>
            <w14:solidFill>
              <w14:schemeClr w14:val="accent1"/>
            </w14:solidFill>
          </w14:textFill>
        </w:rPr>
        <w:t xml:space="preserve">（近40万电商人都在看！）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636395" cy="1655445"/>
            <wp:effectExtent l="0" t="0" r="1905"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18"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642110" cy="1633220"/>
            <wp:effectExtent l="0" t="0" r="1524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cstate="print"/>
                    <a:stretch>
                      <a:fillRect/>
                    </a:stretch>
                  </pic:blipFill>
                  <pic:spPr>
                    <a:xfrm>
                      <a:off x="0" y="0"/>
                      <a:ext cx="1642110" cy="1633220"/>
                    </a:xfrm>
                    <a:prstGeom prst="rect">
                      <a:avLst/>
                    </a:prstGeom>
                    <a:noFill/>
                    <a:ln>
                      <a:noFill/>
                    </a:ln>
                  </pic:spPr>
                </pic:pic>
              </a:graphicData>
            </a:graphic>
          </wp:inline>
        </w:drawing>
      </w:r>
    </w:p>
    <w:p>
      <w:pPr>
        <w:spacing w:beforeLines="50" w:line="240" w:lineRule="auto"/>
        <w:jc w:val="left"/>
        <w:outlineLvl w:val="1"/>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bookmarkStart w:id="141" w:name="_Toc18278"/>
      <w:bookmarkStart w:id="142" w:name="_Toc29005"/>
      <w:bookmarkStart w:id="143" w:name="_Toc2332"/>
      <w:bookmarkStart w:id="144" w:name="_Toc18710"/>
      <w:bookmarkStart w:id="145" w:name="_Toc14643"/>
      <w:bookmarkStart w:id="146" w:name="_Toc26109"/>
      <w:bookmarkStart w:id="147" w:name="_Toc25901"/>
      <w:bookmarkStart w:id="148" w:name="_Toc1119"/>
      <w:bookmarkStart w:id="149" w:name="_Toc13272"/>
      <w:bookmarkStart w:id="150" w:name="_Toc17692"/>
      <w:bookmarkStart w:id="151" w:name="_Toc2691"/>
      <w:bookmarkStart w:id="152" w:name="_Toc27206"/>
      <w:bookmarkStart w:id="153" w:name="_Toc8579"/>
      <w:bookmarkStart w:id="154" w:name="_Toc8396"/>
      <w:bookmarkStart w:id="155" w:name="_Toc24712"/>
      <w:bookmarkStart w:id="156" w:name="_Toc102659533"/>
      <w:bookmarkStart w:id="157" w:name="_Toc28328"/>
      <w:bookmarkStart w:id="158" w:name="_Toc10027"/>
      <w:bookmarkStart w:id="159" w:name="_Toc6179"/>
      <w:bookmarkStart w:id="160" w:name="_Toc27235"/>
      <w:bookmarkStart w:id="161" w:name="_Toc26948"/>
      <w:bookmarkStart w:id="162" w:name="_Toc19281"/>
    </w:p>
    <w:p>
      <w:pPr>
        <w:spacing w:beforeLines="50" w:line="240" w:lineRule="auto"/>
        <w:jc w:val="left"/>
        <w:outlineLvl w:val="1"/>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spacing w:beforeLines="50" w:line="24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商家投诉</w:t>
      </w:r>
      <w:r>
        <w:rPr>
          <w:rFonts w:hint="eastAsia" w:ascii="微软雅黑" w:hAnsi="微软雅黑" w:eastAsia="微软雅黑" w:cs="微软雅黑"/>
          <w:b/>
          <w:bCs/>
          <w:color w:val="5B9BD5" w:themeColor="accent1"/>
          <w:sz w:val="28"/>
          <w:szCs w:val="28"/>
          <w14:textFill>
            <w14:solidFill>
              <w14:schemeClr w14:val="accent1"/>
            </w14:solidFill>
          </w14:textFill>
        </w:rPr>
        <w:t>（</w:t>
      </w:r>
      <w:r>
        <w:fldChar w:fldCharType="begin"/>
      </w:r>
      <w:r>
        <w:instrText xml:space="preserve"> HYPERLINK "file:///D:\\backup\\报告类\\DATA.100EC.CN" </w:instrText>
      </w:r>
      <w:r>
        <w:fldChar w:fldCharType="separate"/>
      </w:r>
      <w:r>
        <w:rPr>
          <w:rStyle w:val="15"/>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JTK</w:t>
      </w:r>
      <w:r>
        <w:rPr>
          <w:rStyle w:val="15"/>
          <w:rFonts w:hint="eastAsia" w:ascii="微软雅黑" w:hAnsi="微软雅黑" w:eastAsia="微软雅黑" w:cs="微软雅黑"/>
          <w:b/>
          <w:bCs/>
          <w:color w:val="5B9BD5" w:themeColor="accent1"/>
          <w:sz w:val="28"/>
          <w:szCs w:val="28"/>
          <w14:textFill>
            <w14:solidFill>
              <w14:schemeClr w14:val="accent1"/>
            </w14:solidFill>
          </w14:textFill>
        </w:rPr>
        <w:t>.100EC.CN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5"/>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Style w:val="10"/>
        <w:widowControl/>
        <w:spacing w:afterAutospacing="0" w:line="240" w:lineRule="auto"/>
        <w:ind w:firstLine="632" w:firstLineChars="300"/>
      </w:pPr>
      <w:r>
        <w:rPr>
          <w:rFonts w:hint="eastAsia" w:ascii="宋体" w:hAnsi="宋体" w:eastAsia="宋体" w:cs="宋体"/>
          <w:b/>
          <w:bCs/>
          <w:color w:val="5B9BD5" w:themeColor="accent1"/>
          <w:sz w:val="21"/>
          <w:szCs w:val="21"/>
          <w14:textFill>
            <w14:solidFill>
              <w14:schemeClr w14:val="accent1"/>
            </w14:solidFill>
          </w14:textFill>
        </w:rPr>
        <w:t>（</w:t>
      </w:r>
      <w:r>
        <w:rPr>
          <w:rFonts w:hint="eastAsia" w:ascii="宋体" w:hAnsi="宋体" w:eastAsia="宋体" w:cs="宋体"/>
          <w:b/>
          <w:bCs/>
          <w:color w:val="5B9BD5" w:themeColor="accent1"/>
          <w:sz w:val="21"/>
          <w:szCs w:val="21"/>
          <w:lang w:val="en-US" w:eastAsia="zh-CN"/>
          <w14:textFill>
            <w14:solidFill>
              <w14:schemeClr w14:val="accent1"/>
            </w14:solidFill>
          </w14:textFill>
        </w:rPr>
        <w:t>商家反向维权通道</w:t>
      </w:r>
      <w:r>
        <w:rPr>
          <w:rFonts w:hint="eastAsia" w:ascii="宋体" w:hAnsi="宋体" w:eastAsia="宋体" w:cs="宋体"/>
          <w:b/>
          <w:bCs/>
          <w:color w:val="5B9BD5" w:themeColor="accent1"/>
          <w:sz w:val="21"/>
          <w:szCs w:val="21"/>
          <w14:textFill>
            <w14:solidFill>
              <w14:schemeClr w14:val="accent1"/>
            </w14:solidFill>
          </w14:textFill>
        </w:rPr>
        <w:t xml:space="preserve">）                 </w:t>
      </w:r>
      <w:r>
        <w:rPr>
          <w:rFonts w:hint="eastAsia" w:ascii="宋体" w:hAnsi="宋体" w:eastAsia="宋体" w:cs="宋体"/>
          <w:b/>
          <w:bCs/>
          <w:color w:val="5B9BD5" w:themeColor="accent1"/>
          <w:sz w:val="21"/>
          <w:szCs w:val="21"/>
          <w:lang w:val="en-US" w:eastAsia="zh-CN"/>
          <w14:textFill>
            <w14:solidFill>
              <w14:schemeClr w14:val="accent1"/>
            </w14:solidFill>
          </w14:textFill>
        </w:rPr>
        <w:t xml:space="preserve">          </w:t>
      </w:r>
      <w:r>
        <w:rPr>
          <w:rFonts w:hint="eastAsia" w:ascii="宋体" w:hAnsi="宋体" w:eastAsia="宋体" w:cs="宋体"/>
          <w:b/>
          <w:bCs/>
          <w:color w:val="5B9BD5" w:themeColor="accent1"/>
          <w:sz w:val="21"/>
          <w:szCs w:val="21"/>
          <w14:textFill>
            <w14:solidFill>
              <w14:schemeClr w14:val="accent1"/>
            </w14:solidFill>
          </w14:textFill>
        </w:rPr>
        <w:t xml:space="preserve"> （</w:t>
      </w:r>
      <w:r>
        <w:rPr>
          <w:rFonts w:hint="eastAsia" w:ascii="宋体" w:hAnsi="宋体" w:eastAsia="宋体" w:cs="宋体"/>
          <w:b/>
          <w:bCs/>
          <w:color w:val="5B9BD5" w:themeColor="accent1"/>
          <w:sz w:val="21"/>
          <w:szCs w:val="21"/>
          <w:lang w:val="en-US" w:eastAsia="zh-CN"/>
          <w14:textFill>
            <w14:solidFill>
              <w14:schemeClr w14:val="accent1"/>
            </w14:solidFill>
          </w14:textFill>
        </w:rPr>
        <w:t>消费者</w:t>
      </w:r>
      <w:r>
        <w:rPr>
          <w:rFonts w:hint="eastAsia" w:ascii="宋体" w:hAnsi="宋体" w:eastAsia="宋体" w:cs="宋体"/>
          <w:b/>
          <w:bCs/>
          <w:color w:val="5B9BD5" w:themeColor="accent1"/>
          <w:sz w:val="21"/>
          <w:szCs w:val="21"/>
          <w14:textFill>
            <w14:solidFill>
              <w14:schemeClr w14:val="accent1"/>
            </w14:solidFill>
          </w14:textFill>
        </w:rPr>
        <w:t>投诉</w:t>
      </w:r>
      <w:r>
        <w:rPr>
          <w:rFonts w:hint="eastAsia" w:ascii="宋体" w:hAnsi="宋体" w:eastAsia="宋体" w:cs="宋体"/>
          <w:b/>
          <w:bCs/>
          <w:color w:val="5B9BD5" w:themeColor="accent1"/>
          <w:sz w:val="21"/>
          <w:szCs w:val="21"/>
          <w:lang w:val="en-US" w:eastAsia="zh-CN"/>
          <w14:textFill>
            <w14:solidFill>
              <w14:schemeClr w14:val="accent1"/>
            </w14:solidFill>
          </w14:textFill>
        </w:rPr>
        <w:t>通道</w:t>
      </w:r>
      <w:r>
        <w:rPr>
          <w:rFonts w:hint="eastAsia" w:ascii="宋体" w:hAnsi="宋体" w:eastAsia="宋体" w:cs="宋体"/>
          <w:b/>
          <w:bCs/>
          <w:color w:val="5B9BD5" w:themeColor="accent1"/>
          <w:sz w:val="21"/>
          <w:szCs w:val="21"/>
          <w14:textFill>
            <w14:solidFill>
              <w14:schemeClr w14:val="accent1"/>
            </w14:solidFill>
          </w14:textFill>
        </w:rPr>
        <w:t>）</w:t>
      </w:r>
    </w:p>
    <w:p>
      <w:pPr>
        <w:spacing w:beforeLines="50" w:line="360" w:lineRule="auto"/>
        <w:jc w:val="center"/>
        <w:rPr>
          <w:rFonts w:hint="eastAsia" w:ascii="微软雅黑" w:hAnsi="微软雅黑" w:eastAsia="微软雅黑" w:cs="微软雅黑"/>
          <w:b/>
          <w:bCs/>
          <w:sz w:val="28"/>
          <w:szCs w:val="28"/>
        </w:rPr>
      </w:pPr>
      <w:r>
        <w:drawing>
          <wp:inline distT="0" distB="0" distL="114300" distR="114300">
            <wp:extent cx="1783080" cy="1763395"/>
            <wp:effectExtent l="0" t="0" r="7620"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rcRect b="2455"/>
                    <a:stretch>
                      <a:fillRect/>
                    </a:stretch>
                  </pic:blipFill>
                  <pic:spPr>
                    <a:xfrm>
                      <a:off x="0" y="0"/>
                      <a:ext cx="1783080" cy="1763395"/>
                    </a:xfrm>
                    <a:prstGeom prst="rect">
                      <a:avLst/>
                    </a:prstGeom>
                    <a:noFill/>
                    <a:ln>
                      <a:noFill/>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687830" cy="1683385"/>
            <wp:effectExtent l="0" t="0" r="7620" b="1206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21" cstate="print"/>
                    <a:stretch>
                      <a:fillRect/>
                    </a:stretch>
                  </pic:blipFill>
                  <pic:spPr>
                    <a:xfrm>
                      <a:off x="0" y="0"/>
                      <a:ext cx="1687830" cy="1683385"/>
                    </a:xfrm>
                    <a:prstGeom prst="rect">
                      <a:avLst/>
                    </a:prstGeom>
                  </pic:spPr>
                </pic:pic>
              </a:graphicData>
            </a:graphic>
          </wp:inline>
        </w:drawing>
      </w:r>
    </w:p>
    <w:p>
      <w:pPr>
        <w:spacing w:beforeLines="50" w:line="360" w:lineRule="auto"/>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oQSMaAgAAIg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pWhBIxoCAAAiBAAADgAA&#10;AAAAAAABACAAAAAfAQAAZHJzL2Uyb0RvYy54bWxQSwUGAAAAAAYABgBZAQAAq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1906270" cy="310515"/>
          <wp:effectExtent l="19050" t="0" r="0" b="0"/>
          <wp:docPr id="7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19200" cy="561975"/>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BFBC2D"/>
    <w:multiLevelType w:val="singleLevel"/>
    <w:tmpl w:val="EABFBC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1D32"/>
    <w:rsid w:val="00040EE7"/>
    <w:rsid w:val="00045055"/>
    <w:rsid w:val="0005588A"/>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7175"/>
    <w:rsid w:val="002A37D6"/>
    <w:rsid w:val="002A512B"/>
    <w:rsid w:val="002A6ABB"/>
    <w:rsid w:val="002B5A9D"/>
    <w:rsid w:val="002C3945"/>
    <w:rsid w:val="002C4FE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81240"/>
    <w:rsid w:val="00382DF8"/>
    <w:rsid w:val="003924C0"/>
    <w:rsid w:val="003933D2"/>
    <w:rsid w:val="00393BDB"/>
    <w:rsid w:val="00394FD0"/>
    <w:rsid w:val="003A1228"/>
    <w:rsid w:val="003A2B0F"/>
    <w:rsid w:val="003B52DA"/>
    <w:rsid w:val="003C1095"/>
    <w:rsid w:val="003C4517"/>
    <w:rsid w:val="003D5F1E"/>
    <w:rsid w:val="003D7267"/>
    <w:rsid w:val="003E1302"/>
    <w:rsid w:val="003E39A5"/>
    <w:rsid w:val="003E4A7D"/>
    <w:rsid w:val="003F24F5"/>
    <w:rsid w:val="003F2DD1"/>
    <w:rsid w:val="003F3CF1"/>
    <w:rsid w:val="003F610D"/>
    <w:rsid w:val="003F6342"/>
    <w:rsid w:val="003F7181"/>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6918"/>
    <w:rsid w:val="00457E14"/>
    <w:rsid w:val="004615D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31FA"/>
    <w:rsid w:val="005F49BD"/>
    <w:rsid w:val="00603F6B"/>
    <w:rsid w:val="00606F74"/>
    <w:rsid w:val="006075F7"/>
    <w:rsid w:val="0061235C"/>
    <w:rsid w:val="006175C7"/>
    <w:rsid w:val="0061776F"/>
    <w:rsid w:val="006219D1"/>
    <w:rsid w:val="00624479"/>
    <w:rsid w:val="00624B48"/>
    <w:rsid w:val="00625619"/>
    <w:rsid w:val="006269B0"/>
    <w:rsid w:val="00641843"/>
    <w:rsid w:val="006421B9"/>
    <w:rsid w:val="00642B0D"/>
    <w:rsid w:val="00642C03"/>
    <w:rsid w:val="00644991"/>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C5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2603"/>
    <w:rsid w:val="00826110"/>
    <w:rsid w:val="00826D87"/>
    <w:rsid w:val="00840F4F"/>
    <w:rsid w:val="00842783"/>
    <w:rsid w:val="008504E0"/>
    <w:rsid w:val="00851103"/>
    <w:rsid w:val="00854B15"/>
    <w:rsid w:val="00855CB6"/>
    <w:rsid w:val="00860EAE"/>
    <w:rsid w:val="008829CA"/>
    <w:rsid w:val="00883042"/>
    <w:rsid w:val="00884104"/>
    <w:rsid w:val="00890786"/>
    <w:rsid w:val="00891352"/>
    <w:rsid w:val="008924D2"/>
    <w:rsid w:val="00892B2A"/>
    <w:rsid w:val="00896AC5"/>
    <w:rsid w:val="008A08AD"/>
    <w:rsid w:val="008A46DA"/>
    <w:rsid w:val="008A6B1E"/>
    <w:rsid w:val="008C21AD"/>
    <w:rsid w:val="008C566F"/>
    <w:rsid w:val="008D216D"/>
    <w:rsid w:val="008D31BA"/>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3E64"/>
    <w:rsid w:val="00935273"/>
    <w:rsid w:val="0093719D"/>
    <w:rsid w:val="009376B2"/>
    <w:rsid w:val="00944A3D"/>
    <w:rsid w:val="00946EB1"/>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3C6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7938"/>
    <w:rsid w:val="00CA52D9"/>
    <w:rsid w:val="00CA60C2"/>
    <w:rsid w:val="00CB0059"/>
    <w:rsid w:val="00CB113E"/>
    <w:rsid w:val="00CB5DD6"/>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333C3"/>
    <w:rsid w:val="00D33875"/>
    <w:rsid w:val="00D36FFD"/>
    <w:rsid w:val="00D51434"/>
    <w:rsid w:val="00D67E79"/>
    <w:rsid w:val="00D820E7"/>
    <w:rsid w:val="00D825F1"/>
    <w:rsid w:val="00D8395F"/>
    <w:rsid w:val="00D90CD4"/>
    <w:rsid w:val="00D9562C"/>
    <w:rsid w:val="00D96666"/>
    <w:rsid w:val="00DA3040"/>
    <w:rsid w:val="00DA5DB7"/>
    <w:rsid w:val="00DB0884"/>
    <w:rsid w:val="00DC08FF"/>
    <w:rsid w:val="00DC434B"/>
    <w:rsid w:val="00DC6DAB"/>
    <w:rsid w:val="00DD596C"/>
    <w:rsid w:val="00DD6F19"/>
    <w:rsid w:val="00DD71B2"/>
    <w:rsid w:val="00DE5C5E"/>
    <w:rsid w:val="00DE790B"/>
    <w:rsid w:val="00DF122A"/>
    <w:rsid w:val="00DF1980"/>
    <w:rsid w:val="00DF56BD"/>
    <w:rsid w:val="00E07E72"/>
    <w:rsid w:val="00E30650"/>
    <w:rsid w:val="00E306AE"/>
    <w:rsid w:val="00E35002"/>
    <w:rsid w:val="00E35B3E"/>
    <w:rsid w:val="00E36D2B"/>
    <w:rsid w:val="00E404C9"/>
    <w:rsid w:val="00E54978"/>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1CE280C"/>
    <w:rsid w:val="01E80720"/>
    <w:rsid w:val="03A90A63"/>
    <w:rsid w:val="04363C8E"/>
    <w:rsid w:val="047C6D6D"/>
    <w:rsid w:val="05587CC8"/>
    <w:rsid w:val="05E23258"/>
    <w:rsid w:val="072A19D5"/>
    <w:rsid w:val="072D15C8"/>
    <w:rsid w:val="075A7922"/>
    <w:rsid w:val="083F54F9"/>
    <w:rsid w:val="08413769"/>
    <w:rsid w:val="099A5001"/>
    <w:rsid w:val="0A4C126F"/>
    <w:rsid w:val="0B487268"/>
    <w:rsid w:val="0B760304"/>
    <w:rsid w:val="0B7A5DF9"/>
    <w:rsid w:val="0B8F162E"/>
    <w:rsid w:val="0BB2494C"/>
    <w:rsid w:val="0BB90FF9"/>
    <w:rsid w:val="0C55526A"/>
    <w:rsid w:val="0CA9299F"/>
    <w:rsid w:val="0CB5176E"/>
    <w:rsid w:val="0D304082"/>
    <w:rsid w:val="0D97739A"/>
    <w:rsid w:val="0D9E4D43"/>
    <w:rsid w:val="0DD9290F"/>
    <w:rsid w:val="0EAD36A7"/>
    <w:rsid w:val="0F8C2C8D"/>
    <w:rsid w:val="0FD66030"/>
    <w:rsid w:val="0FEA0949"/>
    <w:rsid w:val="10D7002E"/>
    <w:rsid w:val="1151445E"/>
    <w:rsid w:val="119C511E"/>
    <w:rsid w:val="11A3682B"/>
    <w:rsid w:val="11D50B39"/>
    <w:rsid w:val="11F02824"/>
    <w:rsid w:val="128D4367"/>
    <w:rsid w:val="12907582"/>
    <w:rsid w:val="12BF3B27"/>
    <w:rsid w:val="12E61056"/>
    <w:rsid w:val="135760B2"/>
    <w:rsid w:val="13A23DBC"/>
    <w:rsid w:val="13C80A82"/>
    <w:rsid w:val="14DD483B"/>
    <w:rsid w:val="15BD4AE9"/>
    <w:rsid w:val="15C81E56"/>
    <w:rsid w:val="15D33907"/>
    <w:rsid w:val="164851A6"/>
    <w:rsid w:val="1652230F"/>
    <w:rsid w:val="175C3E39"/>
    <w:rsid w:val="17B024FE"/>
    <w:rsid w:val="17E24350"/>
    <w:rsid w:val="17F117A3"/>
    <w:rsid w:val="188E0AB1"/>
    <w:rsid w:val="197F6ABE"/>
    <w:rsid w:val="1A5F2153"/>
    <w:rsid w:val="1BF1157D"/>
    <w:rsid w:val="1C3F0AE4"/>
    <w:rsid w:val="1C7A3677"/>
    <w:rsid w:val="1CAC1941"/>
    <w:rsid w:val="1CD01F91"/>
    <w:rsid w:val="1CFA349D"/>
    <w:rsid w:val="1D122B2E"/>
    <w:rsid w:val="1E0B6C90"/>
    <w:rsid w:val="1E4E10EA"/>
    <w:rsid w:val="1F314A65"/>
    <w:rsid w:val="1F596E64"/>
    <w:rsid w:val="1F8B5E71"/>
    <w:rsid w:val="2022196D"/>
    <w:rsid w:val="20B5361D"/>
    <w:rsid w:val="20BB1DB4"/>
    <w:rsid w:val="20D06039"/>
    <w:rsid w:val="21292150"/>
    <w:rsid w:val="22097B53"/>
    <w:rsid w:val="22BC1C9E"/>
    <w:rsid w:val="23471CFB"/>
    <w:rsid w:val="23B74214"/>
    <w:rsid w:val="244E5BC6"/>
    <w:rsid w:val="25566D14"/>
    <w:rsid w:val="25DD21B3"/>
    <w:rsid w:val="25F2550C"/>
    <w:rsid w:val="26D439F4"/>
    <w:rsid w:val="27186D03"/>
    <w:rsid w:val="27E3762C"/>
    <w:rsid w:val="27EF40FF"/>
    <w:rsid w:val="28035CC9"/>
    <w:rsid w:val="2AA0262C"/>
    <w:rsid w:val="2BD944B2"/>
    <w:rsid w:val="2C2C17BC"/>
    <w:rsid w:val="2CA14802"/>
    <w:rsid w:val="2CC51B87"/>
    <w:rsid w:val="2CD13F3A"/>
    <w:rsid w:val="2CD80D47"/>
    <w:rsid w:val="2CE86812"/>
    <w:rsid w:val="2D4E7208"/>
    <w:rsid w:val="2D923C8B"/>
    <w:rsid w:val="2E955D29"/>
    <w:rsid w:val="2FB24854"/>
    <w:rsid w:val="31035B52"/>
    <w:rsid w:val="31134AF1"/>
    <w:rsid w:val="31B01081"/>
    <w:rsid w:val="31CB5D5A"/>
    <w:rsid w:val="32A97E1D"/>
    <w:rsid w:val="3383074C"/>
    <w:rsid w:val="34BE1C7E"/>
    <w:rsid w:val="34FC0BB7"/>
    <w:rsid w:val="3507141A"/>
    <w:rsid w:val="356C097C"/>
    <w:rsid w:val="35AE1415"/>
    <w:rsid w:val="36142A80"/>
    <w:rsid w:val="365022C5"/>
    <w:rsid w:val="365976FD"/>
    <w:rsid w:val="3663237C"/>
    <w:rsid w:val="367F6C8E"/>
    <w:rsid w:val="369A59B6"/>
    <w:rsid w:val="36BD15E3"/>
    <w:rsid w:val="371B2546"/>
    <w:rsid w:val="379224A8"/>
    <w:rsid w:val="37F115CD"/>
    <w:rsid w:val="38EF7F95"/>
    <w:rsid w:val="3985730C"/>
    <w:rsid w:val="39A614CB"/>
    <w:rsid w:val="3A4B6966"/>
    <w:rsid w:val="3B154D8C"/>
    <w:rsid w:val="3B191493"/>
    <w:rsid w:val="3BFD7FFA"/>
    <w:rsid w:val="3C465226"/>
    <w:rsid w:val="3D066557"/>
    <w:rsid w:val="3D3316B8"/>
    <w:rsid w:val="3D3C38C1"/>
    <w:rsid w:val="3D6A400F"/>
    <w:rsid w:val="3DA16A55"/>
    <w:rsid w:val="3E4C7F12"/>
    <w:rsid w:val="3E634E3C"/>
    <w:rsid w:val="3EE50033"/>
    <w:rsid w:val="3F730679"/>
    <w:rsid w:val="3F841629"/>
    <w:rsid w:val="3FBE0E1F"/>
    <w:rsid w:val="41401529"/>
    <w:rsid w:val="41FB5EC8"/>
    <w:rsid w:val="424D161D"/>
    <w:rsid w:val="42FD5613"/>
    <w:rsid w:val="43386C97"/>
    <w:rsid w:val="43535F48"/>
    <w:rsid w:val="43832BB6"/>
    <w:rsid w:val="438422AA"/>
    <w:rsid w:val="43B57579"/>
    <w:rsid w:val="440F0EBF"/>
    <w:rsid w:val="44836261"/>
    <w:rsid w:val="46204E8A"/>
    <w:rsid w:val="46BD5BCA"/>
    <w:rsid w:val="46CB0360"/>
    <w:rsid w:val="47835315"/>
    <w:rsid w:val="47A97124"/>
    <w:rsid w:val="47CC6474"/>
    <w:rsid w:val="48594FB1"/>
    <w:rsid w:val="48B96A30"/>
    <w:rsid w:val="4A2C72F7"/>
    <w:rsid w:val="4A735089"/>
    <w:rsid w:val="4B2772B6"/>
    <w:rsid w:val="4B374F60"/>
    <w:rsid w:val="4B493A8A"/>
    <w:rsid w:val="4B6F6221"/>
    <w:rsid w:val="4B950E46"/>
    <w:rsid w:val="4C644CD6"/>
    <w:rsid w:val="4D4154F7"/>
    <w:rsid w:val="4D510530"/>
    <w:rsid w:val="4D6E7D47"/>
    <w:rsid w:val="4D7039C9"/>
    <w:rsid w:val="4D9B7612"/>
    <w:rsid w:val="4D9F02E7"/>
    <w:rsid w:val="4DB1793A"/>
    <w:rsid w:val="4EDD04CE"/>
    <w:rsid w:val="4EE936A0"/>
    <w:rsid w:val="4F13178A"/>
    <w:rsid w:val="50083021"/>
    <w:rsid w:val="505C0F87"/>
    <w:rsid w:val="50874DF7"/>
    <w:rsid w:val="51586ACE"/>
    <w:rsid w:val="52676685"/>
    <w:rsid w:val="52B107AA"/>
    <w:rsid w:val="53012E37"/>
    <w:rsid w:val="5315305C"/>
    <w:rsid w:val="53C21D6E"/>
    <w:rsid w:val="53DA2475"/>
    <w:rsid w:val="541A206B"/>
    <w:rsid w:val="5476668F"/>
    <w:rsid w:val="547C592D"/>
    <w:rsid w:val="548C6D1C"/>
    <w:rsid w:val="55272FC3"/>
    <w:rsid w:val="560F4660"/>
    <w:rsid w:val="570D752D"/>
    <w:rsid w:val="573F3FE1"/>
    <w:rsid w:val="57A61D12"/>
    <w:rsid w:val="591D679C"/>
    <w:rsid w:val="59C44E52"/>
    <w:rsid w:val="5A4F008D"/>
    <w:rsid w:val="5AA95C38"/>
    <w:rsid w:val="5AC558FB"/>
    <w:rsid w:val="5AE0016A"/>
    <w:rsid w:val="5BD460B1"/>
    <w:rsid w:val="5C7A1D7D"/>
    <w:rsid w:val="5CB27E46"/>
    <w:rsid w:val="5D31499D"/>
    <w:rsid w:val="5E0F025B"/>
    <w:rsid w:val="5E195109"/>
    <w:rsid w:val="5E74305A"/>
    <w:rsid w:val="5F1E7327"/>
    <w:rsid w:val="5F5A2053"/>
    <w:rsid w:val="5F6C38C9"/>
    <w:rsid w:val="60500A62"/>
    <w:rsid w:val="605D27B5"/>
    <w:rsid w:val="60BA7413"/>
    <w:rsid w:val="61134876"/>
    <w:rsid w:val="6142760A"/>
    <w:rsid w:val="614A4A93"/>
    <w:rsid w:val="616C541C"/>
    <w:rsid w:val="617B359A"/>
    <w:rsid w:val="619160CC"/>
    <w:rsid w:val="625D1043"/>
    <w:rsid w:val="62612902"/>
    <w:rsid w:val="627A1826"/>
    <w:rsid w:val="62D133C0"/>
    <w:rsid w:val="63277479"/>
    <w:rsid w:val="6360453D"/>
    <w:rsid w:val="63736255"/>
    <w:rsid w:val="63AD4D7B"/>
    <w:rsid w:val="64771CA4"/>
    <w:rsid w:val="648E023F"/>
    <w:rsid w:val="65682FD5"/>
    <w:rsid w:val="6596271A"/>
    <w:rsid w:val="65AC2481"/>
    <w:rsid w:val="66313600"/>
    <w:rsid w:val="670A3761"/>
    <w:rsid w:val="67962B2C"/>
    <w:rsid w:val="67A62750"/>
    <w:rsid w:val="67BB0E7B"/>
    <w:rsid w:val="682532BB"/>
    <w:rsid w:val="68392861"/>
    <w:rsid w:val="68E87F87"/>
    <w:rsid w:val="69AA5150"/>
    <w:rsid w:val="69DB1821"/>
    <w:rsid w:val="69FB20C5"/>
    <w:rsid w:val="6A892B20"/>
    <w:rsid w:val="6B44724E"/>
    <w:rsid w:val="6BFC55D7"/>
    <w:rsid w:val="6DEB688F"/>
    <w:rsid w:val="6DEC0ACA"/>
    <w:rsid w:val="6E66566A"/>
    <w:rsid w:val="6FD352C6"/>
    <w:rsid w:val="6FF63A26"/>
    <w:rsid w:val="70597B9A"/>
    <w:rsid w:val="706B5DB0"/>
    <w:rsid w:val="72012409"/>
    <w:rsid w:val="72CF1D17"/>
    <w:rsid w:val="73213AA8"/>
    <w:rsid w:val="733E49BF"/>
    <w:rsid w:val="734D68B5"/>
    <w:rsid w:val="73B70560"/>
    <w:rsid w:val="74A67E7F"/>
    <w:rsid w:val="754D783F"/>
    <w:rsid w:val="7554056B"/>
    <w:rsid w:val="7557341E"/>
    <w:rsid w:val="756D7CC5"/>
    <w:rsid w:val="75A76527"/>
    <w:rsid w:val="767D1A75"/>
    <w:rsid w:val="769B6150"/>
    <w:rsid w:val="76F91B44"/>
    <w:rsid w:val="76FF1D05"/>
    <w:rsid w:val="77CA581F"/>
    <w:rsid w:val="77F866D1"/>
    <w:rsid w:val="78A43C58"/>
    <w:rsid w:val="78B80904"/>
    <w:rsid w:val="78F558F0"/>
    <w:rsid w:val="79634BA8"/>
    <w:rsid w:val="798C1481"/>
    <w:rsid w:val="79F10493"/>
    <w:rsid w:val="7A1F59EF"/>
    <w:rsid w:val="7A292A93"/>
    <w:rsid w:val="7A98322D"/>
    <w:rsid w:val="7AC87533"/>
    <w:rsid w:val="7AFB71CB"/>
    <w:rsid w:val="7B2B1F32"/>
    <w:rsid w:val="7B763959"/>
    <w:rsid w:val="7B850502"/>
    <w:rsid w:val="7BBF4923"/>
    <w:rsid w:val="7BE317A6"/>
    <w:rsid w:val="7CBD32CC"/>
    <w:rsid w:val="7D3D4580"/>
    <w:rsid w:val="7D914338"/>
    <w:rsid w:val="7DAA1297"/>
    <w:rsid w:val="7DC106FC"/>
    <w:rsid w:val="7DC130D3"/>
    <w:rsid w:val="7DD33FF7"/>
    <w:rsid w:val="7DE4698C"/>
    <w:rsid w:val="7DF96CE7"/>
    <w:rsid w:val="7EBE0D2D"/>
    <w:rsid w:val="7ECB2BD2"/>
    <w:rsid w:val="7EFE39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paragraph" w:styleId="4">
    <w:name w:val="heading 3"/>
    <w:basedOn w:val="1"/>
    <w:next w:val="1"/>
    <w:link w:val="16"/>
    <w:unhideWhenUsed/>
    <w:qFormat/>
    <w:uiPriority w:val="0"/>
    <w:pPr>
      <w:keepNext/>
      <w:keepLines/>
      <w:spacing w:before="260" w:after="260" w:line="416" w:lineRule="auto"/>
      <w:outlineLvl w:val="2"/>
    </w:pPr>
    <w:rPr>
      <w:b/>
      <w:bCs/>
      <w:sz w:val="28"/>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rPr>
      <w:sz w:val="24"/>
    </w:rPr>
  </w:style>
  <w:style w:type="paragraph" w:styleId="10">
    <w:name w:val="Normal (Web)"/>
    <w:basedOn w:val="1"/>
    <w:qFormat/>
    <w:uiPriority w:val="99"/>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styleId="15">
    <w:name w:val="Hyperlink"/>
    <w:basedOn w:val="13"/>
    <w:qFormat/>
    <w:uiPriority w:val="99"/>
    <w:rPr>
      <w:color w:val="0000FF"/>
      <w:u w:val="single"/>
    </w:rPr>
  </w:style>
  <w:style w:type="character" w:customStyle="1" w:styleId="16">
    <w:name w:val="标题 3 Char"/>
    <w:basedOn w:val="13"/>
    <w:link w:val="4"/>
    <w:qFormat/>
    <w:uiPriority w:val="0"/>
    <w:rPr>
      <w:rFonts w:asciiTheme="minorHAnsi" w:hAnsiTheme="minorHAnsi" w:eastAsiaTheme="minorEastAsia" w:cstheme="minorBidi"/>
      <w:b/>
      <w:bCs/>
      <w:kern w:val="2"/>
      <w:sz w:val="28"/>
      <w:szCs w:val="32"/>
    </w:rPr>
  </w:style>
  <w:style w:type="character" w:customStyle="1" w:styleId="17">
    <w:name w:val="批注框文本 Char"/>
    <w:basedOn w:val="13"/>
    <w:link w:val="5"/>
    <w:qFormat/>
    <w:uiPriority w:val="0"/>
    <w:rPr>
      <w:rFonts w:asciiTheme="minorHAnsi" w:hAnsiTheme="minorHAnsi" w:eastAsiaTheme="minorEastAsia" w:cstheme="minorBidi"/>
      <w:kern w:val="2"/>
      <w:sz w:val="18"/>
      <w:szCs w:val="18"/>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56E8FE-FE8E-44F2-A075-0CFC08427777}">
  <ds:schemaRefs/>
</ds:datastoreItem>
</file>

<file path=docProps/app.xml><?xml version="1.0" encoding="utf-8"?>
<Properties xmlns="http://schemas.openxmlformats.org/officeDocument/2006/extended-properties" xmlns:vt="http://schemas.openxmlformats.org/officeDocument/2006/docPropsVTypes">
  <Template>Normal</Template>
  <Pages>32</Pages>
  <Words>2612</Words>
  <Characters>14889</Characters>
  <Lines>124</Lines>
  <Paragraphs>34</Paragraphs>
  <TotalTime>5</TotalTime>
  <ScaleCrop>false</ScaleCrop>
  <LinksUpToDate>false</LinksUpToDate>
  <CharactersWithSpaces>17467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2023-04-04T05:21:00Z</dcterms:created>
  <dc:creator>豆豆</dc:creator>
  <cp:lastModifiedBy>user</cp:lastModifiedBy>
  <dcterms:modified xsi:type="dcterms:W3CDTF">2024-12-02T09:41:39Z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