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9F3C1">
      <w:pPr>
        <w:pStyle w:val="2"/>
        <w:pageBreakBefore w:val="0"/>
        <w:kinsoku/>
        <w:wordWrap/>
        <w:overflowPunct/>
        <w:topLinePunct w:val="0"/>
        <w:autoSpaceDE/>
        <w:autoSpaceDN/>
        <w:bidi w:val="0"/>
        <w:adjustRightInd/>
        <w:spacing w:before="0" w:after="0" w:line="360" w:lineRule="auto"/>
        <w:jc w:val="center"/>
        <w:textAlignment w:val="auto"/>
        <w:rPr>
          <w:rFonts w:hint="eastAsia" w:ascii="微软雅黑" w:hAnsi="微软雅黑" w:eastAsia="微软雅黑"/>
          <w:color w:val="000000"/>
          <w:sz w:val="48"/>
          <w:szCs w:val="48"/>
        </w:rPr>
      </w:pPr>
      <w:r>
        <w:rPr>
          <w:rFonts w:hint="eastAsia" w:ascii="微软雅黑" w:hAnsi="微软雅黑" w:eastAsia="微软雅黑"/>
          <w:color w:val="000000"/>
          <w:sz w:val="48"/>
          <w:szCs w:val="48"/>
        </w:rPr>
        <w:t>网经社G</w:t>
      </w:r>
      <w:r>
        <w:rPr>
          <w:rFonts w:ascii="微软雅黑" w:hAnsi="微软雅黑" w:eastAsia="微软雅黑"/>
          <w:color w:val="000000"/>
          <w:sz w:val="48"/>
          <w:szCs w:val="48"/>
        </w:rPr>
        <w:t>EO</w:t>
      </w:r>
      <w:r>
        <w:rPr>
          <w:rFonts w:hint="eastAsia" w:ascii="微软雅黑" w:hAnsi="微软雅黑" w:eastAsia="微软雅黑"/>
          <w:color w:val="000000"/>
          <w:sz w:val="48"/>
          <w:szCs w:val="48"/>
        </w:rPr>
        <w:t>软文合作协议</w:t>
      </w:r>
    </w:p>
    <w:p w14:paraId="4DF75403">
      <w:pPr>
        <w:pageBreakBefore w:val="0"/>
        <w:kinsoku/>
        <w:wordWrap/>
        <w:overflowPunct/>
        <w:topLinePunct w:val="0"/>
        <w:autoSpaceDE/>
        <w:autoSpaceDN/>
        <w:bidi w:val="0"/>
        <w:adjustRightInd/>
        <w:spacing w:line="360" w:lineRule="auto"/>
        <w:ind w:firstLine="480" w:firstLineChars="200"/>
        <w:jc w:val="left"/>
        <w:textAlignment w:val="auto"/>
        <w:rPr>
          <w:rFonts w:hint="eastAsia"/>
          <w:b/>
          <w:bCs/>
          <w:color w:val="000000"/>
          <w:sz w:val="24"/>
          <w:szCs w:val="32"/>
        </w:rPr>
      </w:pPr>
      <w:r>
        <w:rPr>
          <w:rFonts w:hint="eastAsia"/>
          <w:b/>
          <w:bCs/>
          <w:color w:val="000000"/>
          <w:sz w:val="24"/>
          <w:szCs w:val="32"/>
        </w:rPr>
        <w:t xml:space="preserve">甲  方： </w:t>
      </w:r>
    </w:p>
    <w:p w14:paraId="761DA619">
      <w:pPr>
        <w:pageBreakBefore w:val="0"/>
        <w:kinsoku/>
        <w:wordWrap/>
        <w:overflowPunct/>
        <w:topLinePunct w:val="0"/>
        <w:autoSpaceDE/>
        <w:autoSpaceDN/>
        <w:bidi w:val="0"/>
        <w:adjustRightInd/>
        <w:spacing w:line="360" w:lineRule="auto"/>
        <w:ind w:firstLine="480" w:firstLineChars="200"/>
        <w:jc w:val="left"/>
        <w:textAlignment w:val="auto"/>
        <w:rPr>
          <w:rFonts w:hint="eastAsia"/>
          <w:b/>
          <w:bCs/>
          <w:color w:val="000000"/>
          <w:sz w:val="24"/>
          <w:szCs w:val="32"/>
        </w:rPr>
      </w:pPr>
      <w:r>
        <w:rPr>
          <w:rFonts w:hint="eastAsia"/>
          <w:b/>
          <w:bCs/>
          <w:color w:val="000000"/>
          <w:sz w:val="24"/>
          <w:szCs w:val="32"/>
        </w:rPr>
        <w:t>联系人：</w:t>
      </w:r>
    </w:p>
    <w:p w14:paraId="689BE7C2">
      <w:pPr>
        <w:pageBreakBefore w:val="0"/>
        <w:kinsoku/>
        <w:wordWrap/>
        <w:overflowPunct/>
        <w:topLinePunct w:val="0"/>
        <w:autoSpaceDE/>
        <w:autoSpaceDN/>
        <w:bidi w:val="0"/>
        <w:adjustRightInd/>
        <w:spacing w:line="360" w:lineRule="auto"/>
        <w:ind w:firstLine="480" w:firstLineChars="200"/>
        <w:jc w:val="left"/>
        <w:textAlignment w:val="auto"/>
        <w:rPr>
          <w:rFonts w:hint="eastAsia"/>
          <w:b/>
          <w:bCs/>
          <w:color w:val="000000"/>
          <w:sz w:val="24"/>
          <w:szCs w:val="32"/>
        </w:rPr>
      </w:pPr>
      <w:r>
        <w:rPr>
          <w:rFonts w:hint="eastAsia"/>
          <w:b/>
          <w:bCs/>
          <w:color w:val="000000"/>
          <w:sz w:val="24"/>
          <w:szCs w:val="32"/>
        </w:rPr>
        <w:t>电  话：</w:t>
      </w:r>
    </w:p>
    <w:p w14:paraId="3DC76B49">
      <w:pPr>
        <w:pageBreakBefore w:val="0"/>
        <w:kinsoku/>
        <w:wordWrap/>
        <w:overflowPunct/>
        <w:topLinePunct w:val="0"/>
        <w:autoSpaceDE/>
        <w:autoSpaceDN/>
        <w:bidi w:val="0"/>
        <w:adjustRightInd/>
        <w:spacing w:line="360" w:lineRule="auto"/>
        <w:ind w:firstLine="480" w:firstLineChars="200"/>
        <w:jc w:val="left"/>
        <w:textAlignment w:val="auto"/>
        <w:rPr>
          <w:b/>
          <w:bCs/>
          <w:color w:val="000000"/>
          <w:sz w:val="24"/>
          <w:szCs w:val="32"/>
        </w:rPr>
      </w:pPr>
      <w:r>
        <w:rPr>
          <w:rFonts w:hint="eastAsia"/>
          <w:b/>
          <w:bCs/>
          <w:color w:val="000000"/>
          <w:sz w:val="24"/>
          <w:szCs w:val="32"/>
        </w:rPr>
        <w:t xml:space="preserve">地 </w:t>
      </w:r>
      <w:r>
        <w:rPr>
          <w:b/>
          <w:bCs/>
          <w:color w:val="000000"/>
          <w:sz w:val="24"/>
          <w:szCs w:val="32"/>
        </w:rPr>
        <w:t xml:space="preserve"> </w:t>
      </w:r>
      <w:r>
        <w:rPr>
          <w:rFonts w:hint="eastAsia"/>
          <w:b/>
          <w:bCs/>
          <w:color w:val="000000"/>
          <w:sz w:val="24"/>
          <w:szCs w:val="32"/>
        </w:rPr>
        <w:t>址：</w:t>
      </w:r>
    </w:p>
    <w:p w14:paraId="45B06E4F">
      <w:pPr>
        <w:pageBreakBefore w:val="0"/>
        <w:kinsoku/>
        <w:wordWrap/>
        <w:overflowPunct/>
        <w:topLinePunct w:val="0"/>
        <w:autoSpaceDE/>
        <w:autoSpaceDN/>
        <w:bidi w:val="0"/>
        <w:adjustRightInd/>
        <w:spacing w:line="360" w:lineRule="auto"/>
        <w:ind w:firstLine="480" w:firstLineChars="200"/>
        <w:jc w:val="left"/>
        <w:textAlignment w:val="auto"/>
        <w:rPr>
          <w:rFonts w:hint="eastAsia"/>
          <w:b/>
          <w:bCs/>
          <w:color w:val="000000"/>
          <w:sz w:val="24"/>
          <w:szCs w:val="32"/>
        </w:rPr>
      </w:pPr>
      <w:bookmarkStart w:id="0" w:name="_Hlk237951536"/>
      <w:r>
        <w:rPr>
          <w:rFonts w:hint="eastAsia"/>
          <w:b/>
          <w:bCs/>
          <w:color w:val="000000"/>
          <w:sz w:val="24"/>
          <w:szCs w:val="32"/>
        </w:rPr>
        <w:t>乙  方：浙江网经社信息科技有限公司</w:t>
      </w:r>
    </w:p>
    <w:p w14:paraId="358BD735">
      <w:pPr>
        <w:pageBreakBefore w:val="0"/>
        <w:kinsoku/>
        <w:wordWrap/>
        <w:overflowPunct/>
        <w:topLinePunct w:val="0"/>
        <w:autoSpaceDE/>
        <w:autoSpaceDN/>
        <w:bidi w:val="0"/>
        <w:adjustRightInd/>
        <w:spacing w:line="360" w:lineRule="auto"/>
        <w:ind w:firstLine="480" w:firstLineChars="200"/>
        <w:jc w:val="left"/>
        <w:textAlignment w:val="auto"/>
        <w:rPr>
          <w:rFonts w:hint="eastAsia"/>
          <w:color w:val="000000"/>
          <w:sz w:val="24"/>
          <w:szCs w:val="32"/>
        </w:rPr>
      </w:pPr>
      <w:r>
        <w:rPr>
          <w:rFonts w:hint="eastAsia"/>
          <w:b/>
          <w:bCs/>
          <w:color w:val="000000"/>
          <w:sz w:val="24"/>
          <w:szCs w:val="32"/>
        </w:rPr>
        <w:t>联系人：陈礼腾</w:t>
      </w:r>
    </w:p>
    <w:p w14:paraId="70025935">
      <w:pPr>
        <w:pageBreakBefore w:val="0"/>
        <w:kinsoku/>
        <w:wordWrap/>
        <w:overflowPunct/>
        <w:topLinePunct w:val="0"/>
        <w:autoSpaceDE/>
        <w:autoSpaceDN/>
        <w:bidi w:val="0"/>
        <w:adjustRightInd/>
        <w:spacing w:line="360" w:lineRule="auto"/>
        <w:ind w:firstLine="480" w:firstLineChars="200"/>
        <w:jc w:val="left"/>
        <w:textAlignment w:val="auto"/>
        <w:rPr>
          <w:b/>
          <w:bCs/>
          <w:color w:val="000000"/>
          <w:sz w:val="24"/>
          <w:szCs w:val="32"/>
        </w:rPr>
      </w:pPr>
      <w:r>
        <w:rPr>
          <w:rFonts w:hint="eastAsia"/>
          <w:b/>
          <w:bCs/>
          <w:color w:val="000000"/>
          <w:sz w:val="24"/>
          <w:szCs w:val="32"/>
        </w:rPr>
        <w:t>电  话：1</w:t>
      </w:r>
      <w:r>
        <w:rPr>
          <w:b/>
          <w:bCs/>
          <w:color w:val="000000"/>
          <w:sz w:val="24"/>
          <w:szCs w:val="32"/>
        </w:rPr>
        <w:t>5168211391</w:t>
      </w:r>
    </w:p>
    <w:p w14:paraId="29973A02">
      <w:pPr>
        <w:pageBreakBefore w:val="0"/>
        <w:kinsoku/>
        <w:wordWrap/>
        <w:overflowPunct/>
        <w:topLinePunct w:val="0"/>
        <w:autoSpaceDE/>
        <w:autoSpaceDN/>
        <w:bidi w:val="0"/>
        <w:adjustRightInd/>
        <w:spacing w:line="360" w:lineRule="auto"/>
        <w:ind w:firstLine="480" w:firstLineChars="200"/>
        <w:jc w:val="left"/>
        <w:textAlignment w:val="auto"/>
        <w:rPr>
          <w:rFonts w:hint="eastAsia"/>
          <w:b/>
          <w:bCs/>
          <w:color w:val="000000"/>
          <w:sz w:val="24"/>
          <w:szCs w:val="32"/>
        </w:rPr>
      </w:pPr>
      <w:r>
        <w:rPr>
          <w:rFonts w:hint="eastAsia"/>
          <w:b/>
          <w:bCs/>
          <w:color w:val="000000"/>
          <w:sz w:val="24"/>
          <w:szCs w:val="32"/>
        </w:rPr>
        <w:t xml:space="preserve">地 </w:t>
      </w:r>
      <w:r>
        <w:rPr>
          <w:rFonts w:hint="eastAsia"/>
          <w:b/>
          <w:bCs/>
          <w:color w:val="000000"/>
          <w:sz w:val="24"/>
          <w:szCs w:val="32"/>
          <w:lang w:val="en-US" w:eastAsia="zh-CN"/>
        </w:rPr>
        <w:t xml:space="preserve"> </w:t>
      </w:r>
      <w:r>
        <w:rPr>
          <w:rFonts w:hint="eastAsia"/>
          <w:b/>
          <w:bCs/>
          <w:color w:val="000000"/>
          <w:sz w:val="24"/>
          <w:szCs w:val="32"/>
        </w:rPr>
        <w:t>址：杭州市滨江区立业路788号网盛大厦29层</w:t>
      </w:r>
    </w:p>
    <w:p w14:paraId="11388B21">
      <w:pPr>
        <w:pageBreakBefore w:val="0"/>
        <w:kinsoku/>
        <w:wordWrap/>
        <w:overflowPunct/>
        <w:topLinePunct w:val="0"/>
        <w:autoSpaceDE/>
        <w:autoSpaceDN/>
        <w:bidi w:val="0"/>
        <w:adjustRightInd/>
        <w:spacing w:line="360" w:lineRule="auto"/>
        <w:ind w:firstLine="480" w:firstLineChars="200"/>
        <w:jc w:val="left"/>
        <w:textAlignment w:val="auto"/>
        <w:rPr>
          <w:rFonts w:hint="default" w:eastAsia="宋体"/>
          <w:b/>
          <w:bCs/>
          <w:color w:val="000000"/>
          <w:sz w:val="24"/>
          <w:szCs w:val="32"/>
          <w:lang w:val="en-US" w:eastAsia="zh-CN"/>
        </w:rPr>
      </w:pPr>
      <w:r>
        <w:rPr>
          <w:rFonts w:hint="eastAsia"/>
          <w:b/>
          <w:bCs/>
          <w:color w:val="000000"/>
          <w:sz w:val="24"/>
          <w:szCs w:val="32"/>
          <w:lang w:val="en-US" w:eastAsia="zh-CN"/>
        </w:rPr>
        <w:t>合同</w:t>
      </w:r>
      <w:r>
        <w:rPr>
          <w:rFonts w:hint="eastAsia"/>
          <w:b/>
          <w:bCs/>
          <w:color w:val="000000"/>
          <w:sz w:val="24"/>
          <w:szCs w:val="32"/>
          <w:lang w:val="en-US" w:eastAsia="zh-CN"/>
        </w:rPr>
        <w:t>签约地：浙江省杭州市滨江区</w:t>
      </w:r>
    </w:p>
    <w:bookmarkEnd w:id="0"/>
    <w:p w14:paraId="27F9C7AC">
      <w:pPr>
        <w:pageBreakBefore w:val="0"/>
        <w:widowControl/>
        <w:kinsoku/>
        <w:wordWrap/>
        <w:overflowPunct/>
        <w:topLinePunct w:val="0"/>
        <w:autoSpaceDE/>
        <w:autoSpaceDN/>
        <w:bidi w:val="0"/>
        <w:adjustRightInd/>
        <w:spacing w:line="360" w:lineRule="auto"/>
        <w:ind w:firstLine="480" w:firstLineChars="200"/>
        <w:textAlignment w:val="auto"/>
        <w:rPr>
          <w:rFonts w:ascii="宋体" w:hAnsi="宋体"/>
          <w:b/>
          <w:bCs/>
          <w:color w:val="000000"/>
          <w:sz w:val="24"/>
        </w:rPr>
      </w:pPr>
      <w:r>
        <w:rPr>
          <w:rFonts w:ascii="宋体" w:hAnsi="宋体"/>
          <w:color w:val="000000"/>
          <w:sz w:val="24"/>
        </w:rPr>
        <w:t>网经社</w:t>
      </w:r>
      <w:r>
        <w:rPr>
          <w:rFonts w:hint="eastAsia" w:ascii="宋体" w:hAnsi="宋体"/>
          <w:color w:val="000000"/>
          <w:sz w:val="24"/>
        </w:rPr>
        <w:t>深耕数字经济</w:t>
      </w:r>
      <w:r>
        <w:rPr>
          <w:rFonts w:ascii="宋体" w:hAnsi="宋体"/>
          <w:color w:val="000000"/>
          <w:sz w:val="24"/>
        </w:rPr>
        <w:t>19</w:t>
      </w:r>
      <w:r>
        <w:rPr>
          <w:rFonts w:hint="eastAsia" w:ascii="宋体" w:hAnsi="宋体"/>
          <w:color w:val="000000"/>
          <w:sz w:val="24"/>
        </w:rPr>
        <w:t>年</w:t>
      </w:r>
      <w:r>
        <w:rPr>
          <w:rFonts w:ascii="宋体" w:hAnsi="宋体"/>
          <w:color w:val="000000"/>
          <w:sz w:val="24"/>
        </w:rPr>
        <w:t>，是国内唯一拥有A股上市公司背景的数字经济综合服务商，围绕</w:t>
      </w:r>
      <w:r>
        <w:rPr>
          <w:rFonts w:hint="eastAsia" w:ascii="宋体" w:hAnsi="宋体"/>
          <w:b/>
          <w:bCs/>
          <w:color w:val="000000"/>
          <w:sz w:val="24"/>
        </w:rPr>
        <w:t>“媒体+智库+媒介”</w:t>
      </w:r>
      <w:r>
        <w:rPr>
          <w:rFonts w:ascii="宋体" w:hAnsi="宋体"/>
          <w:color w:val="000000"/>
          <w:sz w:val="24"/>
        </w:rPr>
        <w:t>三大战略定位，构建了以电商为核心的数字经济主阵地，凭借持续稳定的高质量原创内容，已成为各大AI模型在数字经济领域的核心信源之一，</w:t>
      </w:r>
      <w:r>
        <w:rPr>
          <w:rFonts w:ascii="宋体" w:hAnsi="宋体"/>
          <w:b/>
          <w:bCs/>
          <w:color w:val="000000"/>
          <w:sz w:val="24"/>
        </w:rPr>
        <w:t>具备天然的GEO优化基础与信源权重优势。</w:t>
      </w:r>
    </w:p>
    <w:p w14:paraId="36AC1482">
      <w:pPr>
        <w:pageBreakBefore w:val="0"/>
        <w:widowControl/>
        <w:kinsoku/>
        <w:wordWrap/>
        <w:overflowPunct/>
        <w:topLinePunct w:val="0"/>
        <w:autoSpaceDE/>
        <w:autoSpaceDN/>
        <w:bidi w:val="0"/>
        <w:adjustRightInd/>
        <w:spacing w:line="360" w:lineRule="auto"/>
        <w:ind w:firstLine="480" w:firstLineChars="200"/>
        <w:textAlignment w:val="auto"/>
        <w:rPr>
          <w:rFonts w:ascii="宋体" w:hAnsi="宋体"/>
          <w:color w:val="000000"/>
          <w:sz w:val="24"/>
        </w:rPr>
      </w:pPr>
      <w:r>
        <w:rPr>
          <w:rFonts w:hint="eastAsia" w:ascii="宋体" w:hAnsi="宋体"/>
          <w:color w:val="000000"/>
          <w:sz w:val="24"/>
        </w:rPr>
        <w:t>甲乙双方经友好协商，就甲方委托乙方在网经社网站（</w:t>
      </w:r>
      <w:r>
        <w:rPr>
          <w:rFonts w:ascii="宋体" w:hAnsi="宋体"/>
          <w:color w:val="000000"/>
          <w:sz w:val="24"/>
        </w:rPr>
        <w:fldChar w:fldCharType="begin"/>
      </w:r>
      <w:r>
        <w:rPr>
          <w:rFonts w:ascii="宋体" w:hAnsi="宋体"/>
          <w:color w:val="000000"/>
          <w:sz w:val="24"/>
        </w:rPr>
        <w:instrText xml:space="preserve"> </w:instrText>
      </w:r>
      <w:r>
        <w:rPr>
          <w:rFonts w:hint="eastAsia" w:ascii="宋体" w:hAnsi="宋体"/>
          <w:color w:val="000000"/>
          <w:sz w:val="24"/>
        </w:rPr>
        <w:instrText xml:space="preserve">HYPERLINK "https://www.100ec.cn/"</w:instrText>
      </w:r>
      <w:r>
        <w:rPr>
          <w:rFonts w:ascii="宋体" w:hAnsi="宋体"/>
          <w:color w:val="000000"/>
          <w:sz w:val="24"/>
        </w:rPr>
        <w:instrText xml:space="preserve"> </w:instrText>
      </w:r>
      <w:r>
        <w:rPr>
          <w:rFonts w:ascii="宋体" w:hAnsi="宋体"/>
          <w:color w:val="000000"/>
          <w:sz w:val="24"/>
        </w:rPr>
        <w:fldChar w:fldCharType="separate"/>
      </w:r>
      <w:r>
        <w:rPr>
          <w:rStyle w:val="16"/>
          <w:rFonts w:hint="eastAsia" w:ascii="宋体" w:hAnsi="宋体"/>
          <w:color w:val="000000"/>
          <w:sz w:val="24"/>
        </w:rPr>
        <w:t>https://www.100ec.cn/</w:t>
      </w:r>
      <w:r>
        <w:rPr>
          <w:rFonts w:ascii="宋体" w:hAnsi="宋体"/>
          <w:color w:val="000000"/>
          <w:sz w:val="24"/>
        </w:rPr>
        <w:fldChar w:fldCharType="end"/>
      </w:r>
      <w:r>
        <w:rPr>
          <w:rFonts w:hint="eastAsia" w:ascii="宋体" w:hAnsi="宋体"/>
          <w:color w:val="000000"/>
          <w:sz w:val="24"/>
        </w:rPr>
        <w:t>）进行相关软文发布相关事宜达成如下协议</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76"/>
        <w:gridCol w:w="2835"/>
        <w:gridCol w:w="4643"/>
      </w:tblGrid>
      <w:tr w14:paraId="4F4CB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376" w:type="dxa"/>
            <w:noWrap w:val="0"/>
            <w:vAlign w:val="center"/>
          </w:tcPr>
          <w:p w14:paraId="3B1E55EB">
            <w:pPr>
              <w:pageBreakBefore w:val="0"/>
              <w:widowControl/>
              <w:kinsoku/>
              <w:wordWrap/>
              <w:overflowPunct/>
              <w:topLinePunct w:val="0"/>
              <w:autoSpaceDE/>
              <w:autoSpaceDN/>
              <w:bidi w:val="0"/>
              <w:adjustRightInd/>
              <w:spacing w:line="360" w:lineRule="auto"/>
              <w:jc w:val="center"/>
              <w:textAlignment w:val="auto"/>
              <w:rPr>
                <w:rFonts w:ascii="宋体" w:hAnsi="宋体"/>
                <w:color w:val="000000"/>
                <w:sz w:val="24"/>
              </w:rPr>
            </w:pPr>
            <w:r>
              <w:rPr>
                <w:rFonts w:hint="eastAsia" w:ascii="宋体" w:hAnsi="宋体"/>
                <w:b/>
                <w:color w:val="000000"/>
                <w:sz w:val="24"/>
              </w:rPr>
              <w:t>信息位置</w:t>
            </w:r>
          </w:p>
        </w:tc>
        <w:tc>
          <w:tcPr>
            <w:tcW w:w="2835" w:type="dxa"/>
            <w:noWrap w:val="0"/>
            <w:vAlign w:val="center"/>
          </w:tcPr>
          <w:p w14:paraId="50FC4B5F">
            <w:pPr>
              <w:pageBreakBefore w:val="0"/>
              <w:widowControl/>
              <w:kinsoku/>
              <w:wordWrap/>
              <w:overflowPunct/>
              <w:topLinePunct w:val="0"/>
              <w:autoSpaceDE/>
              <w:autoSpaceDN/>
              <w:bidi w:val="0"/>
              <w:adjustRightInd/>
              <w:spacing w:line="360" w:lineRule="auto"/>
              <w:jc w:val="center"/>
              <w:textAlignment w:val="auto"/>
              <w:rPr>
                <w:rFonts w:ascii="宋体" w:hAnsi="宋体"/>
                <w:color w:val="000000"/>
                <w:sz w:val="24"/>
              </w:rPr>
            </w:pPr>
            <w:r>
              <w:rPr>
                <w:rFonts w:hint="eastAsia" w:ascii="宋体" w:hAnsi="宋体"/>
                <w:b/>
                <w:color w:val="000000"/>
                <w:sz w:val="24"/>
              </w:rPr>
              <w:t>信息形式</w:t>
            </w:r>
          </w:p>
        </w:tc>
        <w:tc>
          <w:tcPr>
            <w:tcW w:w="4643" w:type="dxa"/>
            <w:noWrap w:val="0"/>
            <w:vAlign w:val="center"/>
          </w:tcPr>
          <w:p w14:paraId="4AC9D6A1">
            <w:pPr>
              <w:pageBreakBefore w:val="0"/>
              <w:widowControl/>
              <w:kinsoku/>
              <w:wordWrap/>
              <w:overflowPunct/>
              <w:topLinePunct w:val="0"/>
              <w:autoSpaceDE/>
              <w:autoSpaceDN/>
              <w:bidi w:val="0"/>
              <w:adjustRightInd/>
              <w:spacing w:line="360" w:lineRule="auto"/>
              <w:jc w:val="center"/>
              <w:textAlignment w:val="auto"/>
              <w:rPr>
                <w:rFonts w:ascii="宋体" w:hAnsi="宋体"/>
                <w:color w:val="000000"/>
                <w:sz w:val="24"/>
              </w:rPr>
            </w:pPr>
            <w:r>
              <w:rPr>
                <w:rFonts w:ascii="宋体" w:hAnsi="宋体"/>
                <w:color w:val="000000"/>
                <w:sz w:val="24"/>
              </w:rPr>
              <w:t>目录地址</w:t>
            </w:r>
          </w:p>
        </w:tc>
      </w:tr>
      <w:tr w14:paraId="776C3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376" w:type="dxa"/>
            <w:noWrap w:val="0"/>
            <w:vAlign w:val="center"/>
          </w:tcPr>
          <w:p w14:paraId="61E99D40">
            <w:pPr>
              <w:pageBreakBefore w:val="0"/>
              <w:widowControl/>
              <w:kinsoku/>
              <w:wordWrap/>
              <w:overflowPunct/>
              <w:topLinePunct w:val="0"/>
              <w:autoSpaceDE/>
              <w:autoSpaceDN/>
              <w:bidi w:val="0"/>
              <w:adjustRightInd/>
              <w:spacing w:line="360" w:lineRule="auto"/>
              <w:jc w:val="center"/>
              <w:textAlignment w:val="auto"/>
              <w:rPr>
                <w:rFonts w:ascii="宋体" w:hAnsi="宋体"/>
                <w:color w:val="000000"/>
                <w:sz w:val="24"/>
              </w:rPr>
            </w:pPr>
            <w:r>
              <w:rPr>
                <w:rFonts w:hint="eastAsia" w:ascii="宋体" w:hAnsi="宋体"/>
                <w:color w:val="000000"/>
                <w:sz w:val="24"/>
              </w:rPr>
              <w:t>网站二级目录</w:t>
            </w:r>
          </w:p>
        </w:tc>
        <w:tc>
          <w:tcPr>
            <w:tcW w:w="2835" w:type="dxa"/>
            <w:noWrap w:val="0"/>
            <w:vAlign w:val="center"/>
          </w:tcPr>
          <w:p w14:paraId="2831A285">
            <w:pPr>
              <w:pageBreakBefore w:val="0"/>
              <w:widowControl/>
              <w:kinsoku/>
              <w:wordWrap/>
              <w:overflowPunct/>
              <w:topLinePunct w:val="0"/>
              <w:autoSpaceDE/>
              <w:autoSpaceDN/>
              <w:bidi w:val="0"/>
              <w:adjustRightInd/>
              <w:spacing w:line="360" w:lineRule="auto"/>
              <w:jc w:val="center"/>
              <w:textAlignment w:val="auto"/>
              <w:rPr>
                <w:rFonts w:hint="eastAsia" w:ascii="宋体" w:hAnsi="宋体"/>
                <w:color w:val="000000"/>
                <w:sz w:val="24"/>
              </w:rPr>
            </w:pPr>
            <w:r>
              <w:rPr>
                <w:rFonts w:hint="eastAsia" w:ascii="宋体" w:hAnsi="宋体"/>
                <w:color w:val="000000"/>
                <w:sz w:val="24"/>
              </w:rPr>
              <w:t>软文发布</w:t>
            </w:r>
          </w:p>
        </w:tc>
        <w:tc>
          <w:tcPr>
            <w:tcW w:w="4643" w:type="dxa"/>
            <w:noWrap w:val="0"/>
            <w:vAlign w:val="center"/>
          </w:tcPr>
          <w:p w14:paraId="4DC00756">
            <w:pPr>
              <w:pageBreakBefore w:val="0"/>
              <w:widowControl/>
              <w:kinsoku/>
              <w:wordWrap/>
              <w:overflowPunct/>
              <w:topLinePunct w:val="0"/>
              <w:autoSpaceDE/>
              <w:autoSpaceDN/>
              <w:bidi w:val="0"/>
              <w:adjustRightInd/>
              <w:spacing w:line="360" w:lineRule="auto"/>
              <w:jc w:val="center"/>
              <w:textAlignment w:val="auto"/>
              <w:rPr>
                <w:rFonts w:ascii="宋体" w:hAnsi="宋体"/>
                <w:color w:val="000000"/>
                <w:sz w:val="24"/>
              </w:rPr>
            </w:pPr>
            <w:r>
              <w:rPr>
                <w:rFonts w:ascii="宋体" w:hAnsi="宋体"/>
                <w:color w:val="000000"/>
                <w:sz w:val="24"/>
              </w:rPr>
              <w:fldChar w:fldCharType="begin"/>
            </w:r>
            <w:r>
              <w:rPr>
                <w:rFonts w:ascii="宋体" w:hAnsi="宋体"/>
                <w:color w:val="000000"/>
                <w:sz w:val="24"/>
              </w:rPr>
              <w:instrText xml:space="preserve"> </w:instrText>
            </w:r>
            <w:r>
              <w:rPr>
                <w:rFonts w:hint="eastAsia" w:ascii="宋体" w:hAnsi="宋体"/>
                <w:color w:val="000000"/>
                <w:sz w:val="24"/>
              </w:rPr>
              <w:instrText xml:space="preserve">HYPERLINK "https://www.100ec.cn/XXXX/"</w:instrText>
            </w:r>
            <w:r>
              <w:rPr>
                <w:rFonts w:ascii="宋体" w:hAnsi="宋体"/>
                <w:color w:val="000000"/>
                <w:sz w:val="24"/>
              </w:rPr>
              <w:instrText xml:space="preserve"> </w:instrText>
            </w:r>
            <w:r>
              <w:rPr>
                <w:rFonts w:ascii="宋体" w:hAnsi="宋体"/>
                <w:color w:val="000000"/>
                <w:sz w:val="24"/>
              </w:rPr>
              <w:fldChar w:fldCharType="separate"/>
            </w:r>
            <w:r>
              <w:rPr>
                <w:rStyle w:val="16"/>
                <w:rFonts w:hint="eastAsia" w:ascii="宋体" w:hAnsi="宋体"/>
                <w:color w:val="000000"/>
                <w:sz w:val="24"/>
              </w:rPr>
              <w:t>https://www.100ec.cn/XXXX/</w:t>
            </w:r>
            <w:r>
              <w:rPr>
                <w:rFonts w:ascii="宋体" w:hAnsi="宋体"/>
                <w:color w:val="000000"/>
                <w:sz w:val="24"/>
              </w:rPr>
              <w:fldChar w:fldCharType="end"/>
            </w:r>
          </w:p>
        </w:tc>
      </w:tr>
    </w:tbl>
    <w:p w14:paraId="5DAA1CC6">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一、费用及付款方式</w:t>
      </w:r>
    </w:p>
    <w:p w14:paraId="4774138D">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b/>
          <w:bCs/>
          <w:color w:val="000000"/>
          <w:sz w:val="24"/>
        </w:rPr>
      </w:pPr>
      <w:r>
        <w:rPr>
          <w:rFonts w:hint="eastAsia" w:ascii="宋体" w:hAnsi="宋体"/>
          <w:b/>
          <w:bCs/>
          <w:color w:val="000000"/>
          <w:sz w:val="24"/>
        </w:rPr>
        <w:t>1.1费用构成</w:t>
      </w:r>
    </w:p>
    <w:p w14:paraId="720917C9">
      <w:pPr>
        <w:pageBreakBefore w:val="0"/>
        <w:kinsoku/>
        <w:wordWrap/>
        <w:overflowPunct/>
        <w:topLinePunct w:val="0"/>
        <w:autoSpaceDE/>
        <w:autoSpaceDN/>
        <w:bidi w:val="0"/>
        <w:adjustRightInd/>
        <w:spacing w:line="360" w:lineRule="auto"/>
        <w:ind w:firstLine="480" w:firstLineChars="200"/>
        <w:jc w:val="left"/>
        <w:textAlignment w:val="auto"/>
        <w:rPr>
          <w:rFonts w:hint="default" w:ascii="宋体" w:hAnsi="宋体"/>
          <w:b w:val="0"/>
          <w:bCs w:val="0"/>
          <w:color w:val="000000"/>
          <w:sz w:val="24"/>
          <w:lang w:val="en-US"/>
        </w:rPr>
      </w:pPr>
      <w:bookmarkStart w:id="1" w:name="OLE_LINK17"/>
      <w:r>
        <w:rPr>
          <w:rFonts w:ascii="宋体" w:hAnsi="宋体"/>
          <w:color w:val="000000"/>
          <w:sz w:val="24"/>
        </w:rPr>
        <w:t>本合同项下费用</w:t>
      </w:r>
      <w:r>
        <w:rPr>
          <w:rFonts w:hint="eastAsia" w:ascii="宋体" w:hAnsi="宋体"/>
          <w:color w:val="000000"/>
          <w:sz w:val="24"/>
          <w:lang w:val="en-US" w:eastAsia="zh-CN"/>
        </w:rPr>
        <w:t>为全国统一标准（无折扣），</w:t>
      </w:r>
      <w:r>
        <w:rPr>
          <w:rFonts w:ascii="宋体" w:hAnsi="宋体"/>
          <w:color w:val="000000"/>
          <w:sz w:val="24"/>
        </w:rPr>
        <w:t>包含</w:t>
      </w:r>
      <w:r>
        <w:rPr>
          <w:rFonts w:hint="eastAsia" w:ascii="宋体" w:hAnsi="宋体"/>
          <w:b/>
          <w:bCs/>
          <w:color w:val="000000"/>
          <w:sz w:val="24"/>
        </w:rPr>
        <w:t>通道费</w:t>
      </w:r>
      <w:r>
        <w:rPr>
          <w:rFonts w:hint="eastAsia" w:ascii="宋体" w:hAnsi="宋体"/>
          <w:b/>
          <w:bCs/>
          <w:color w:val="000000"/>
          <w:sz w:val="24"/>
          <w:lang w:eastAsia="zh-CN"/>
        </w:rPr>
        <w:t>、</w:t>
      </w:r>
      <w:r>
        <w:rPr>
          <w:rFonts w:ascii="宋体" w:hAnsi="宋体"/>
          <w:b/>
          <w:bCs/>
          <w:color w:val="000000"/>
          <w:sz w:val="24"/>
        </w:rPr>
        <w:t>保证金</w:t>
      </w:r>
      <w:r>
        <w:rPr>
          <w:rFonts w:hint="eastAsia" w:ascii="宋体" w:hAnsi="宋体"/>
          <w:b/>
          <w:bCs/>
          <w:color w:val="000000"/>
          <w:sz w:val="24"/>
          <w:lang w:eastAsia="zh-CN"/>
        </w:rPr>
        <w:t>、</w:t>
      </w:r>
      <w:bookmarkStart w:id="2" w:name="OLE_LINK8"/>
      <w:r>
        <w:rPr>
          <w:rFonts w:hint="eastAsia" w:ascii="宋体" w:hAnsi="宋体"/>
          <w:b/>
          <w:bCs/>
          <w:color w:val="000000"/>
          <w:sz w:val="24"/>
          <w:lang w:val="en-US" w:eastAsia="zh-CN"/>
        </w:rPr>
        <w:t>软文</w:t>
      </w:r>
      <w:r>
        <w:rPr>
          <w:rFonts w:ascii="宋体" w:hAnsi="宋体"/>
          <w:b/>
          <w:bCs/>
          <w:color w:val="000000"/>
          <w:sz w:val="24"/>
        </w:rPr>
        <w:t>发布费</w:t>
      </w:r>
      <w:bookmarkEnd w:id="2"/>
      <w:r>
        <w:rPr>
          <w:rFonts w:ascii="宋体" w:hAnsi="宋体"/>
          <w:b/>
          <w:bCs/>
          <w:color w:val="000000"/>
          <w:sz w:val="24"/>
        </w:rPr>
        <w:t>、</w:t>
      </w:r>
      <w:r>
        <w:rPr>
          <w:rFonts w:hint="eastAsia" w:ascii="宋体" w:hAnsi="宋体"/>
          <w:b/>
          <w:bCs/>
          <w:color w:val="000000"/>
          <w:sz w:val="24"/>
          <w:lang w:val="en-US" w:eastAsia="zh-CN"/>
        </w:rPr>
        <w:t>数据存储费</w:t>
      </w:r>
      <w:bookmarkEnd w:id="1"/>
      <w:r>
        <w:rPr>
          <w:rFonts w:hint="eastAsia" w:ascii="宋体" w:hAnsi="宋体"/>
          <w:b/>
          <w:bCs/>
          <w:color w:val="000000"/>
          <w:sz w:val="24"/>
          <w:lang w:val="en-US" w:eastAsia="zh-CN"/>
        </w:rPr>
        <w:t>，</w:t>
      </w:r>
      <w:r>
        <w:rPr>
          <w:rFonts w:hint="eastAsia" w:ascii="宋体" w:hAnsi="宋体"/>
          <w:b w:val="0"/>
          <w:bCs w:val="0"/>
          <w:color w:val="000000"/>
          <w:sz w:val="24"/>
          <w:lang w:val="en-US" w:eastAsia="zh-CN"/>
        </w:rPr>
        <w:t>具体如下：</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6"/>
        <w:gridCol w:w="4769"/>
        <w:gridCol w:w="3089"/>
      </w:tblGrid>
      <w:tr w14:paraId="5D1A8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48" w:hRule="atLeast"/>
        </w:trPr>
        <w:tc>
          <w:tcPr>
            <w:tcW w:w="1996" w:type="dxa"/>
            <w:noWrap w:val="0"/>
            <w:vAlign w:val="center"/>
          </w:tcPr>
          <w:p w14:paraId="75D48AB7">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000000"/>
                <w:sz w:val="24"/>
              </w:rPr>
            </w:pPr>
            <w:bookmarkStart w:id="3" w:name="_Hlk239061549"/>
            <w:bookmarkStart w:id="4" w:name="OLE_LINK12" w:colFirst="0" w:colLast="66"/>
            <w:bookmarkStart w:id="5" w:name="OLE_LINK13" w:colFirst="0" w:colLast="66"/>
            <w:r>
              <w:rPr>
                <w:rFonts w:hint="eastAsia" w:ascii="宋体" w:hAnsi="宋体"/>
                <w:b/>
                <w:bCs/>
                <w:color w:val="000000"/>
                <w:sz w:val="24"/>
              </w:rPr>
              <w:t>费用组成</w:t>
            </w:r>
          </w:p>
        </w:tc>
        <w:tc>
          <w:tcPr>
            <w:tcW w:w="4769" w:type="dxa"/>
            <w:noWrap w:val="0"/>
            <w:vAlign w:val="center"/>
          </w:tcPr>
          <w:p w14:paraId="79F96808">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000000"/>
                <w:sz w:val="24"/>
              </w:rPr>
            </w:pPr>
            <w:r>
              <w:rPr>
                <w:rFonts w:hint="eastAsia" w:ascii="宋体" w:hAnsi="宋体"/>
                <w:b/>
                <w:bCs/>
                <w:color w:val="000000"/>
                <w:sz w:val="24"/>
              </w:rPr>
              <w:t>费用介绍</w:t>
            </w:r>
          </w:p>
        </w:tc>
        <w:tc>
          <w:tcPr>
            <w:tcW w:w="3089" w:type="dxa"/>
            <w:noWrap w:val="0"/>
            <w:vAlign w:val="center"/>
          </w:tcPr>
          <w:p w14:paraId="470FC2C6">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000000"/>
                <w:sz w:val="24"/>
              </w:rPr>
            </w:pPr>
            <w:r>
              <w:rPr>
                <w:rFonts w:hint="eastAsia" w:ascii="宋体" w:hAnsi="宋体"/>
                <w:b/>
                <w:bCs/>
                <w:color w:val="000000"/>
                <w:sz w:val="24"/>
              </w:rPr>
              <w:t>费用合计</w:t>
            </w:r>
          </w:p>
        </w:tc>
      </w:tr>
      <w:bookmarkEnd w:id="3"/>
      <w:bookmarkEnd w:id="4"/>
      <w:bookmarkEnd w:id="5"/>
      <w:tr w14:paraId="0852E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996" w:type="dxa"/>
            <w:vMerge w:val="restart"/>
            <w:noWrap w:val="0"/>
            <w:vAlign w:val="center"/>
          </w:tcPr>
          <w:p w14:paraId="09A10228">
            <w:pPr>
              <w:pageBreakBefore w:val="0"/>
              <w:kinsoku/>
              <w:wordWrap/>
              <w:overflowPunct/>
              <w:topLinePunct w:val="0"/>
              <w:autoSpaceDE/>
              <w:autoSpaceDN/>
              <w:bidi w:val="0"/>
              <w:adjustRightInd/>
              <w:spacing w:line="360" w:lineRule="auto"/>
              <w:jc w:val="center"/>
              <w:textAlignment w:val="auto"/>
              <w:rPr>
                <w:rFonts w:ascii="宋体" w:hAnsi="宋体"/>
                <w:b/>
                <w:bCs/>
                <w:color w:val="000000"/>
                <w:sz w:val="24"/>
              </w:rPr>
            </w:pPr>
            <w:r>
              <w:rPr>
                <w:rFonts w:hint="eastAsia" w:ascii="宋体" w:hAnsi="宋体"/>
                <w:b/>
                <w:bCs/>
                <w:color w:val="000000"/>
                <w:sz w:val="24"/>
              </w:rPr>
              <w:t>通道</w:t>
            </w:r>
            <w:r>
              <w:rPr>
                <w:rFonts w:ascii="宋体" w:hAnsi="宋体"/>
                <w:b/>
                <w:bCs/>
                <w:color w:val="000000"/>
                <w:sz w:val="24"/>
              </w:rPr>
              <w:t>费</w:t>
            </w:r>
          </w:p>
          <w:p w14:paraId="0354CAB9">
            <w:pPr>
              <w:pageBreakBefore w:val="0"/>
              <w:kinsoku/>
              <w:wordWrap/>
              <w:overflowPunct/>
              <w:topLinePunct w:val="0"/>
              <w:autoSpaceDE/>
              <w:autoSpaceDN/>
              <w:bidi w:val="0"/>
              <w:adjustRightInd/>
              <w:spacing w:line="360" w:lineRule="auto"/>
              <w:jc w:val="center"/>
              <w:textAlignment w:val="auto"/>
              <w:rPr>
                <w:rFonts w:hint="eastAsia" w:ascii="宋体" w:hAnsi="宋体"/>
                <w:color w:val="000000"/>
                <w:sz w:val="24"/>
              </w:rPr>
            </w:pPr>
          </w:p>
        </w:tc>
        <w:tc>
          <w:tcPr>
            <w:tcW w:w="4769" w:type="dxa"/>
            <w:noWrap w:val="0"/>
            <w:vAlign w:val="center"/>
          </w:tcPr>
          <w:p w14:paraId="434233D7">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bookmarkStart w:id="6" w:name="OLE_LINK14"/>
            <w:r>
              <w:rPr>
                <w:rFonts w:ascii="宋体" w:hAnsi="宋体"/>
                <w:b/>
                <w:bCs/>
                <w:color w:val="000000"/>
                <w:sz w:val="24"/>
              </w:rPr>
              <w:t>专栏搭建费：</w:t>
            </w:r>
            <w:r>
              <w:rPr>
                <w:rFonts w:hint="eastAsia" w:ascii="宋体" w:hAnsi="宋体"/>
                <w:b w:val="0"/>
                <w:bCs w:val="0"/>
                <w:color w:val="000000"/>
                <w:sz w:val="24"/>
                <w:lang w:val="en-US" w:eastAsia="zh-CN"/>
              </w:rPr>
              <w:t>包含</w:t>
            </w:r>
            <w:r>
              <w:rPr>
                <w:rFonts w:ascii="宋体" w:hAnsi="宋体"/>
                <w:color w:val="000000"/>
                <w:sz w:val="24"/>
              </w:rPr>
              <w:t>为甲方开通二级目录专栏、</w:t>
            </w:r>
            <w:r>
              <w:rPr>
                <w:rFonts w:hint="eastAsia" w:ascii="宋体" w:hAnsi="宋体"/>
                <w:color w:val="000000"/>
                <w:sz w:val="24"/>
                <w:lang w:val="en-US" w:eastAsia="zh-CN"/>
              </w:rPr>
              <w:t>提供发稿账号密码、</w:t>
            </w:r>
            <w:r>
              <w:rPr>
                <w:rFonts w:ascii="宋体" w:hAnsi="宋体"/>
                <w:color w:val="000000"/>
                <w:sz w:val="24"/>
              </w:rPr>
              <w:t>配置后台</w:t>
            </w:r>
            <w:r>
              <w:rPr>
                <w:rFonts w:hint="eastAsia" w:ascii="宋体" w:hAnsi="宋体"/>
                <w:color w:val="000000"/>
                <w:sz w:val="24"/>
              </w:rPr>
              <w:t>相关</w:t>
            </w:r>
            <w:r>
              <w:rPr>
                <w:rFonts w:ascii="宋体" w:hAnsi="宋体"/>
                <w:color w:val="000000"/>
                <w:sz w:val="24"/>
              </w:rPr>
              <w:t>权限</w:t>
            </w:r>
            <w:r>
              <w:rPr>
                <w:rFonts w:hint="eastAsia" w:ascii="宋体" w:hAnsi="宋体"/>
                <w:color w:val="000000"/>
                <w:sz w:val="24"/>
                <w:lang w:val="en-US" w:eastAsia="zh-CN"/>
              </w:rPr>
              <w:t>以及发稿教程</w:t>
            </w:r>
            <w:r>
              <w:rPr>
                <w:rFonts w:hint="eastAsia" w:ascii="宋体" w:hAnsi="宋体"/>
                <w:color w:val="000000"/>
                <w:sz w:val="24"/>
              </w:rPr>
              <w:t>等</w:t>
            </w:r>
            <w:r>
              <w:rPr>
                <w:rFonts w:ascii="宋体" w:hAnsi="宋体"/>
                <w:color w:val="000000"/>
                <w:sz w:val="24"/>
              </w:rPr>
              <w:t>费用</w:t>
            </w:r>
            <w:bookmarkEnd w:id="6"/>
            <w:r>
              <w:rPr>
                <w:rFonts w:ascii="宋体" w:hAnsi="宋体"/>
                <w:color w:val="000000"/>
                <w:sz w:val="24"/>
              </w:rPr>
              <w:t>。</w:t>
            </w:r>
          </w:p>
        </w:tc>
        <w:tc>
          <w:tcPr>
            <w:tcW w:w="3089" w:type="dxa"/>
            <w:vMerge w:val="restart"/>
            <w:noWrap w:val="0"/>
            <w:vAlign w:val="center"/>
          </w:tcPr>
          <w:p w14:paraId="5F7830DE">
            <w:pPr>
              <w:pageBreakBefore w:val="0"/>
              <w:kinsoku/>
              <w:wordWrap/>
              <w:overflowPunct/>
              <w:topLinePunct w:val="0"/>
              <w:autoSpaceDE/>
              <w:autoSpaceDN/>
              <w:bidi w:val="0"/>
              <w:adjustRightInd/>
              <w:spacing w:line="360" w:lineRule="auto"/>
              <w:jc w:val="left"/>
              <w:textAlignment w:val="auto"/>
              <w:rPr>
                <w:rFonts w:hint="eastAsia" w:ascii="宋体" w:hAnsi="宋体" w:eastAsia="宋体"/>
                <w:color w:val="000000"/>
                <w:sz w:val="24"/>
                <w:lang w:eastAsia="zh-CN"/>
              </w:rPr>
            </w:pPr>
            <w:bookmarkStart w:id="7" w:name="OLE_LINK11"/>
            <w:r>
              <w:rPr>
                <w:rFonts w:hint="eastAsia" w:ascii="宋体" w:hAnsi="宋体"/>
                <w:color w:val="000000"/>
                <w:sz w:val="24"/>
              </w:rPr>
              <w:t>费用合计</w:t>
            </w:r>
            <w:r>
              <w:rPr>
                <w:rFonts w:hint="eastAsia" w:ascii="宋体" w:hAnsi="宋体"/>
                <w:color w:val="000000"/>
                <w:sz w:val="24"/>
                <w:lang w:val="en-US" w:eastAsia="zh-CN"/>
              </w:rPr>
              <w:t>10</w:t>
            </w:r>
            <w:r>
              <w:rPr>
                <w:rFonts w:ascii="宋体" w:hAnsi="宋体"/>
                <w:color w:val="000000"/>
                <w:sz w:val="24"/>
              </w:rPr>
              <w:t>000</w:t>
            </w:r>
            <w:r>
              <w:rPr>
                <w:rFonts w:hint="eastAsia" w:ascii="宋体" w:hAnsi="宋体"/>
                <w:color w:val="000000"/>
                <w:sz w:val="24"/>
              </w:rPr>
              <w:t>元</w:t>
            </w:r>
            <w:bookmarkEnd w:id="7"/>
            <w:r>
              <w:rPr>
                <w:rFonts w:ascii="宋体" w:hAnsi="宋体"/>
                <w:b/>
                <w:bCs/>
                <w:color w:val="000000"/>
                <w:sz w:val="24"/>
              </w:rPr>
              <w:t>（</w:t>
            </w:r>
            <w:r>
              <w:rPr>
                <w:rFonts w:ascii="宋体" w:hAnsi="宋体"/>
                <w:color w:val="000000"/>
                <w:sz w:val="24"/>
              </w:rPr>
              <w:t>合作</w:t>
            </w:r>
            <w:r>
              <w:rPr>
                <w:rFonts w:hint="eastAsia" w:ascii="宋体" w:hAnsi="宋体"/>
                <w:color w:val="000000"/>
                <w:sz w:val="24"/>
                <w:lang w:val="en-US" w:eastAsia="zh-CN"/>
              </w:rPr>
              <w:t>开始</w:t>
            </w:r>
            <w:r>
              <w:rPr>
                <w:rFonts w:ascii="宋体" w:hAnsi="宋体"/>
                <w:color w:val="000000"/>
                <w:sz w:val="24"/>
              </w:rPr>
              <w:t>时一次性收取，合作期内不重复计取</w:t>
            </w:r>
            <w:r>
              <w:rPr>
                <w:rFonts w:ascii="宋体" w:hAnsi="宋体"/>
                <w:b/>
                <w:bCs/>
                <w:color w:val="000000"/>
                <w:sz w:val="24"/>
              </w:rPr>
              <w:t>）</w:t>
            </w:r>
          </w:p>
        </w:tc>
      </w:tr>
      <w:tr w14:paraId="07D74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28" w:hRule="atLeast"/>
        </w:trPr>
        <w:tc>
          <w:tcPr>
            <w:tcW w:w="1996" w:type="dxa"/>
            <w:vMerge w:val="continue"/>
            <w:noWrap w:val="0"/>
            <w:vAlign w:val="center"/>
          </w:tcPr>
          <w:p w14:paraId="61C918DB">
            <w:pPr>
              <w:pageBreakBefore w:val="0"/>
              <w:kinsoku/>
              <w:wordWrap/>
              <w:overflowPunct/>
              <w:topLinePunct w:val="0"/>
              <w:autoSpaceDE/>
              <w:autoSpaceDN/>
              <w:bidi w:val="0"/>
              <w:adjustRightInd/>
              <w:spacing w:line="360" w:lineRule="auto"/>
              <w:jc w:val="center"/>
              <w:textAlignment w:val="auto"/>
              <w:rPr>
                <w:rFonts w:ascii="宋体" w:hAnsi="宋体"/>
                <w:b/>
                <w:bCs/>
                <w:color w:val="000000"/>
                <w:sz w:val="24"/>
              </w:rPr>
            </w:pPr>
          </w:p>
        </w:tc>
        <w:tc>
          <w:tcPr>
            <w:tcW w:w="4769" w:type="dxa"/>
            <w:noWrap w:val="0"/>
            <w:vAlign w:val="center"/>
          </w:tcPr>
          <w:p w14:paraId="04086FD9">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bookmarkStart w:id="8" w:name="OLE_LINK15"/>
            <w:r>
              <w:rPr>
                <w:rFonts w:ascii="宋体" w:hAnsi="宋体"/>
                <w:b/>
                <w:bCs/>
                <w:color w:val="000000"/>
                <w:sz w:val="24"/>
              </w:rPr>
              <w:t>品牌授权费：</w:t>
            </w:r>
            <w:r>
              <w:rPr>
                <w:rFonts w:hint="eastAsia" w:ascii="宋体" w:hAnsi="宋体"/>
                <w:color w:val="000000"/>
                <w:sz w:val="24"/>
              </w:rPr>
              <w:t>为甲方提供网站首页入口、</w:t>
            </w:r>
            <w:r>
              <w:rPr>
                <w:rFonts w:hint="eastAsia" w:ascii="宋体" w:hAnsi="宋体"/>
                <w:color w:val="000000"/>
                <w:sz w:val="24"/>
                <w:lang w:val="en-US" w:eastAsia="zh-CN"/>
              </w:rPr>
              <w:t>专属</w:t>
            </w:r>
            <w:r>
              <w:rPr>
                <w:rFonts w:hint="eastAsia" w:ascii="宋体" w:hAnsi="宋体"/>
                <w:color w:val="000000"/>
                <w:sz w:val="24"/>
              </w:rPr>
              <w:t>二级域名、</w:t>
            </w:r>
            <w:r>
              <w:rPr>
                <w:rFonts w:ascii="宋体" w:hAnsi="宋体"/>
                <w:color w:val="000000"/>
                <w:sz w:val="24"/>
              </w:rPr>
              <w:t>资质背书</w:t>
            </w:r>
            <w:bookmarkEnd w:id="8"/>
            <w:r>
              <w:rPr>
                <w:rFonts w:hint="eastAsia" w:ascii="宋体" w:hAnsi="宋体"/>
                <w:color w:val="000000"/>
                <w:sz w:val="24"/>
              </w:rPr>
              <w:t>以及授权牌匾（如需）的费用</w:t>
            </w:r>
            <w:r>
              <w:rPr>
                <w:rFonts w:ascii="宋体" w:hAnsi="宋体"/>
                <w:color w:val="000000"/>
                <w:sz w:val="24"/>
              </w:rPr>
              <w:t>。</w:t>
            </w:r>
          </w:p>
        </w:tc>
        <w:tc>
          <w:tcPr>
            <w:tcW w:w="3089" w:type="dxa"/>
            <w:vMerge w:val="continue"/>
            <w:noWrap w:val="0"/>
            <w:vAlign w:val="center"/>
          </w:tcPr>
          <w:p w14:paraId="4B31EC26">
            <w:pPr>
              <w:pageBreakBefore w:val="0"/>
              <w:kinsoku/>
              <w:wordWrap/>
              <w:overflowPunct/>
              <w:topLinePunct w:val="0"/>
              <w:autoSpaceDE/>
              <w:autoSpaceDN/>
              <w:bidi w:val="0"/>
              <w:adjustRightInd/>
              <w:spacing w:line="360" w:lineRule="auto"/>
              <w:jc w:val="left"/>
              <w:textAlignment w:val="auto"/>
              <w:rPr>
                <w:rFonts w:hint="eastAsia" w:ascii="宋体" w:hAnsi="宋体"/>
                <w:color w:val="000000"/>
                <w:sz w:val="24"/>
              </w:rPr>
            </w:pPr>
          </w:p>
        </w:tc>
      </w:tr>
      <w:tr w14:paraId="28F09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996" w:type="dxa"/>
            <w:noWrap w:val="0"/>
            <w:vAlign w:val="center"/>
          </w:tcPr>
          <w:p w14:paraId="4E82CB91">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000000"/>
                <w:sz w:val="24"/>
              </w:rPr>
            </w:pPr>
            <w:r>
              <w:rPr>
                <w:rFonts w:hint="eastAsia" w:ascii="宋体" w:hAnsi="宋体"/>
                <w:b/>
                <w:bCs/>
                <w:color w:val="000000"/>
                <w:sz w:val="24"/>
              </w:rPr>
              <w:t>保证金</w:t>
            </w:r>
          </w:p>
        </w:tc>
        <w:tc>
          <w:tcPr>
            <w:tcW w:w="4769" w:type="dxa"/>
            <w:noWrap w:val="0"/>
            <w:vAlign w:val="center"/>
          </w:tcPr>
          <w:p w14:paraId="12AFD35D">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ascii="宋体" w:hAnsi="宋体"/>
                <w:color w:val="000000"/>
                <w:sz w:val="24"/>
              </w:rPr>
              <w:t>为担保甲方全面履行本合同义务，甲方需向乙方支付合作保证金。</w:t>
            </w:r>
          </w:p>
          <w:p w14:paraId="20F02C06">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b/>
                <w:bCs/>
                <w:color w:val="000000"/>
                <w:sz w:val="24"/>
              </w:rPr>
              <w:t>保证金用途：</w:t>
            </w:r>
            <w:r>
              <w:rPr>
                <w:rFonts w:hint="eastAsia" w:ascii="宋体" w:hAnsi="宋体"/>
                <w:color w:val="000000"/>
                <w:sz w:val="24"/>
              </w:rPr>
              <w:t>专项用于抵扣甲方因违约产生的滞纳金、违约金、损害赔偿金，以及乙方为处置甲方违规内容、处理第三方投诉/索赔等相关成本与损失</w:t>
            </w:r>
            <w:r>
              <w:rPr>
                <w:rFonts w:hint="eastAsia" w:ascii="宋体" w:hAnsi="宋体"/>
                <w:color w:val="000000"/>
                <w:sz w:val="24"/>
                <w:lang w:eastAsia="zh-CN"/>
              </w:rPr>
              <w:t>，</w:t>
            </w:r>
            <w:r>
              <w:rPr>
                <w:rFonts w:hint="eastAsia" w:ascii="宋体" w:hAnsi="宋体"/>
                <w:color w:val="000000"/>
                <w:sz w:val="24"/>
                <w:lang w:val="en-US" w:eastAsia="zh-CN"/>
              </w:rPr>
              <w:t>保证金全部扣完则立即终止合作，已缴纳费用不予退还，乙方保留追责权利</w:t>
            </w:r>
            <w:r>
              <w:rPr>
                <w:rFonts w:hint="eastAsia" w:ascii="宋体" w:hAnsi="宋体"/>
                <w:color w:val="000000"/>
                <w:sz w:val="24"/>
              </w:rPr>
              <w:t>。</w:t>
            </w:r>
          </w:p>
          <w:p w14:paraId="4AE4D4DA">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若保证金不足以覆盖上述款项的，乙方有权向甲方追偿差额部分；甲方应在乙方发出补足通知后3个工作日内补足保证金</w:t>
            </w:r>
            <w:r>
              <w:rPr>
                <w:rFonts w:hint="eastAsia" w:ascii="宋体" w:hAnsi="宋体"/>
                <w:color w:val="000000"/>
                <w:sz w:val="24"/>
                <w:lang w:eastAsia="zh-CN"/>
              </w:rPr>
              <w:t>，</w:t>
            </w:r>
            <w:r>
              <w:rPr>
                <w:rFonts w:hint="eastAsia" w:ascii="宋体" w:hAnsi="宋体"/>
                <w:color w:val="000000"/>
                <w:sz w:val="24"/>
                <w:lang w:val="en-US" w:eastAsia="zh-CN"/>
              </w:rPr>
              <w:t>预期不补将被拉入永久黑名单并通过网经社全媒体曝光</w:t>
            </w:r>
            <w:r>
              <w:rPr>
                <w:rFonts w:hint="eastAsia" w:ascii="宋体" w:hAnsi="宋体"/>
                <w:color w:val="000000"/>
                <w:sz w:val="24"/>
              </w:rPr>
              <w:t>。</w:t>
            </w:r>
          </w:p>
          <w:p w14:paraId="228ECB6F">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本合同有效期满，且甲方无任何违约行为、无未处理完毕的合规纠纷及赔偿责任的，乙方在合同期满后10个工作日内将保证金无息退还甲方。</w:t>
            </w:r>
          </w:p>
        </w:tc>
        <w:tc>
          <w:tcPr>
            <w:tcW w:w="3089" w:type="dxa"/>
            <w:noWrap w:val="0"/>
            <w:vAlign w:val="center"/>
          </w:tcPr>
          <w:p w14:paraId="232A4AB6">
            <w:pPr>
              <w:pageBreakBefore w:val="0"/>
              <w:kinsoku/>
              <w:wordWrap/>
              <w:overflowPunct/>
              <w:topLinePunct w:val="0"/>
              <w:autoSpaceDE/>
              <w:autoSpaceDN/>
              <w:bidi w:val="0"/>
              <w:adjustRightInd/>
              <w:spacing w:line="360" w:lineRule="auto"/>
              <w:jc w:val="left"/>
              <w:textAlignment w:val="auto"/>
              <w:rPr>
                <w:rFonts w:hint="eastAsia" w:ascii="宋体" w:hAnsi="宋体"/>
                <w:color w:val="000000"/>
                <w:sz w:val="24"/>
              </w:rPr>
            </w:pPr>
            <w:r>
              <w:rPr>
                <w:rFonts w:hint="eastAsia" w:ascii="宋体" w:hAnsi="宋体"/>
                <w:color w:val="000000"/>
                <w:sz w:val="24"/>
              </w:rPr>
              <w:t>本项费用合计</w:t>
            </w:r>
            <w:r>
              <w:rPr>
                <w:rFonts w:ascii="宋体" w:hAnsi="宋体"/>
                <w:color w:val="000000"/>
                <w:sz w:val="24"/>
              </w:rPr>
              <w:t>30000</w:t>
            </w:r>
            <w:r>
              <w:rPr>
                <w:rFonts w:hint="eastAsia" w:ascii="宋体" w:hAnsi="宋体"/>
                <w:color w:val="000000"/>
                <w:sz w:val="24"/>
              </w:rPr>
              <w:t>元</w:t>
            </w:r>
          </w:p>
        </w:tc>
      </w:tr>
      <w:tr w14:paraId="4F54D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996" w:type="dxa"/>
            <w:noWrap w:val="0"/>
            <w:vAlign w:val="center"/>
          </w:tcPr>
          <w:p w14:paraId="11A3AEC6">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000000"/>
                <w:sz w:val="24"/>
              </w:rPr>
            </w:pPr>
            <w:r>
              <w:rPr>
                <w:rFonts w:hint="eastAsia" w:ascii="宋体" w:hAnsi="宋体"/>
                <w:b/>
                <w:bCs/>
                <w:color w:val="000000"/>
                <w:sz w:val="24"/>
                <w:lang w:val="en-US" w:eastAsia="zh-CN"/>
              </w:rPr>
              <w:t>软文</w:t>
            </w:r>
            <w:r>
              <w:rPr>
                <w:rFonts w:ascii="宋体" w:hAnsi="宋体"/>
                <w:b/>
                <w:bCs/>
                <w:color w:val="000000"/>
                <w:sz w:val="24"/>
              </w:rPr>
              <w:t>发布费</w:t>
            </w:r>
          </w:p>
        </w:tc>
        <w:tc>
          <w:tcPr>
            <w:tcW w:w="4769" w:type="dxa"/>
            <w:noWrap w:val="0"/>
            <w:vAlign w:val="center"/>
          </w:tcPr>
          <w:p w14:paraId="57D7C0EB">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color w:val="000000"/>
                <w:sz w:val="24"/>
              </w:rPr>
              <w:t>内容发布服务按1</w:t>
            </w:r>
            <w:r>
              <w:rPr>
                <w:rFonts w:ascii="宋体" w:hAnsi="宋体"/>
                <w:color w:val="000000"/>
                <w:sz w:val="24"/>
              </w:rPr>
              <w:t>.6</w:t>
            </w:r>
            <w:r>
              <w:rPr>
                <w:rFonts w:hint="eastAsia" w:ascii="宋体" w:hAnsi="宋体"/>
                <w:color w:val="000000"/>
                <w:sz w:val="24"/>
              </w:rPr>
              <w:t>元/条计费；</w:t>
            </w:r>
          </w:p>
          <w:p w14:paraId="0AD47CE9">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月度最低起订量为5000条（实际发布数量不足5000条的，按5000条结算）；超出起订量部分，以1000条为单位递增加购。</w:t>
            </w:r>
          </w:p>
        </w:tc>
        <w:tc>
          <w:tcPr>
            <w:tcW w:w="3089" w:type="dxa"/>
            <w:noWrap w:val="0"/>
            <w:vAlign w:val="center"/>
          </w:tcPr>
          <w:p w14:paraId="311BB21F">
            <w:pPr>
              <w:pageBreakBefore w:val="0"/>
              <w:kinsoku/>
              <w:wordWrap/>
              <w:overflowPunct/>
              <w:topLinePunct w:val="0"/>
              <w:autoSpaceDE/>
              <w:autoSpaceDN/>
              <w:bidi w:val="0"/>
              <w:adjustRightInd/>
              <w:spacing w:line="360" w:lineRule="auto"/>
              <w:jc w:val="left"/>
              <w:textAlignment w:val="auto"/>
              <w:rPr>
                <w:rFonts w:hint="eastAsia" w:ascii="宋体" w:hAnsi="宋体" w:eastAsia="宋体"/>
                <w:color w:val="000000"/>
                <w:sz w:val="24"/>
                <w:lang w:eastAsia="zh-CN"/>
              </w:rPr>
            </w:pPr>
            <w:r>
              <w:rPr>
                <w:rFonts w:hint="eastAsia" w:ascii="宋体" w:hAnsi="宋体"/>
                <w:color w:val="000000"/>
                <w:sz w:val="24"/>
              </w:rPr>
              <w:t>采购数量</w:t>
            </w:r>
            <w:r>
              <w:rPr>
                <w:rFonts w:ascii="宋体" w:hAnsi="宋体"/>
                <w:color w:val="000000"/>
                <w:sz w:val="24"/>
              </w:rPr>
              <w:t>_______</w:t>
            </w:r>
            <w:r>
              <w:rPr>
                <w:rFonts w:hint="eastAsia" w:ascii="宋体" w:hAnsi="宋体"/>
                <w:color w:val="000000"/>
                <w:sz w:val="24"/>
              </w:rPr>
              <w:t>条</w:t>
            </w:r>
            <w:r>
              <w:rPr>
                <w:rFonts w:ascii="宋体" w:hAnsi="宋体"/>
                <w:color w:val="000000"/>
                <w:sz w:val="24"/>
              </w:rPr>
              <w:t>/</w:t>
            </w:r>
            <w:r>
              <w:rPr>
                <w:rFonts w:hint="eastAsia" w:ascii="宋体" w:hAnsi="宋体"/>
                <w:color w:val="000000"/>
                <w:sz w:val="24"/>
              </w:rPr>
              <w:t>月，采购</w:t>
            </w:r>
            <w:r>
              <w:rPr>
                <w:rFonts w:ascii="宋体" w:hAnsi="宋体"/>
                <w:color w:val="000000"/>
                <w:sz w:val="24"/>
              </w:rPr>
              <w:t>12</w:t>
            </w:r>
            <w:r>
              <w:rPr>
                <w:rFonts w:hint="eastAsia" w:ascii="宋体" w:hAnsi="宋体"/>
                <w:color w:val="000000"/>
                <w:sz w:val="24"/>
              </w:rPr>
              <w:t>个月，本项费用合计</w:t>
            </w:r>
            <w:r>
              <w:rPr>
                <w:rFonts w:ascii="宋体" w:hAnsi="宋体"/>
                <w:color w:val="000000"/>
                <w:sz w:val="24"/>
              </w:rPr>
              <w:t>____</w:t>
            </w:r>
            <w:r>
              <w:rPr>
                <w:rFonts w:hint="eastAsia" w:ascii="宋体" w:hAnsi="宋体"/>
                <w:color w:val="000000"/>
                <w:sz w:val="24"/>
              </w:rPr>
              <w:t>元</w:t>
            </w:r>
            <w:r>
              <w:rPr>
                <w:rFonts w:hint="eastAsia" w:ascii="宋体" w:hAnsi="宋体"/>
                <w:color w:val="000000"/>
                <w:sz w:val="24"/>
                <w:lang w:eastAsia="zh-CN"/>
              </w:rPr>
              <w:t>。（</w:t>
            </w:r>
            <w:r>
              <w:rPr>
                <w:rFonts w:hint="eastAsia" w:ascii="宋体" w:hAnsi="宋体"/>
                <w:color w:val="000000"/>
                <w:sz w:val="24"/>
                <w:lang w:val="en-US" w:eastAsia="zh-CN"/>
              </w:rPr>
              <w:t>超出采购条数部分在合同结束时另签补充协议统一结算，不足1000条按1000条结算</w:t>
            </w:r>
            <w:r>
              <w:rPr>
                <w:rFonts w:hint="eastAsia" w:ascii="宋体" w:hAnsi="宋体"/>
                <w:color w:val="000000"/>
                <w:sz w:val="24"/>
                <w:lang w:eastAsia="zh-CN"/>
              </w:rPr>
              <w:t>）</w:t>
            </w:r>
          </w:p>
        </w:tc>
      </w:tr>
      <w:tr w14:paraId="62FA4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996" w:type="dxa"/>
            <w:noWrap w:val="0"/>
            <w:vAlign w:val="center"/>
          </w:tcPr>
          <w:p w14:paraId="2E7A6C48">
            <w:pPr>
              <w:pageBreakBefore w:val="0"/>
              <w:kinsoku/>
              <w:wordWrap/>
              <w:overflowPunct/>
              <w:topLinePunct w:val="0"/>
              <w:autoSpaceDE/>
              <w:autoSpaceDN/>
              <w:bidi w:val="0"/>
              <w:adjustRightInd/>
              <w:spacing w:line="360" w:lineRule="auto"/>
              <w:jc w:val="center"/>
              <w:textAlignment w:val="auto"/>
              <w:rPr>
                <w:rFonts w:hint="default" w:ascii="宋体" w:hAnsi="宋体"/>
                <w:b/>
                <w:bCs/>
                <w:color w:val="000000"/>
                <w:sz w:val="24"/>
                <w:lang w:val="en-US" w:eastAsia="zh-CN"/>
              </w:rPr>
            </w:pPr>
            <w:r>
              <w:rPr>
                <w:rFonts w:hint="eastAsia" w:ascii="宋体" w:hAnsi="宋体"/>
                <w:b/>
                <w:bCs/>
                <w:color w:val="000000"/>
                <w:sz w:val="24"/>
                <w:lang w:val="en-US" w:eastAsia="zh-CN"/>
              </w:rPr>
              <w:t>数据存储费</w:t>
            </w:r>
          </w:p>
        </w:tc>
        <w:tc>
          <w:tcPr>
            <w:tcW w:w="4769" w:type="dxa"/>
            <w:noWrap w:val="0"/>
            <w:vAlign w:val="center"/>
          </w:tcPr>
          <w:p w14:paraId="61F3554B">
            <w:pPr>
              <w:pageBreakBefore w:val="0"/>
              <w:kinsoku/>
              <w:wordWrap/>
              <w:overflowPunct/>
              <w:topLinePunct w:val="0"/>
              <w:autoSpaceDE/>
              <w:autoSpaceDN/>
              <w:bidi w:val="0"/>
              <w:adjustRightInd/>
              <w:spacing w:line="360" w:lineRule="auto"/>
              <w:ind w:firstLine="480" w:firstLineChars="200"/>
              <w:jc w:val="left"/>
              <w:textAlignment w:val="auto"/>
              <w:rPr>
                <w:rFonts w:hint="default" w:ascii="宋体" w:hAnsi="宋体" w:eastAsia="宋体"/>
                <w:color w:val="000000"/>
                <w:sz w:val="24"/>
                <w:lang w:val="en-US" w:eastAsia="zh-CN"/>
              </w:rPr>
            </w:pPr>
            <w:r>
              <w:rPr>
                <w:rFonts w:hint="eastAsia" w:ascii="宋体" w:hAnsi="宋体"/>
                <w:color w:val="000000"/>
                <w:sz w:val="24"/>
                <w:lang w:val="en-US" w:eastAsia="zh-CN"/>
              </w:rPr>
              <w:t>合作期满，如需保留合作期内软文发布数据，网经社需收取存储费用（包括服务器存储、潜在合规风险费、带宽费等）。</w:t>
            </w:r>
          </w:p>
        </w:tc>
        <w:tc>
          <w:tcPr>
            <w:tcW w:w="3089" w:type="dxa"/>
            <w:noWrap w:val="0"/>
            <w:vAlign w:val="center"/>
          </w:tcPr>
          <w:p w14:paraId="05C26EAA">
            <w:pPr>
              <w:pageBreakBefore w:val="0"/>
              <w:kinsoku/>
              <w:wordWrap/>
              <w:overflowPunct/>
              <w:topLinePunct w:val="0"/>
              <w:autoSpaceDE/>
              <w:autoSpaceDN/>
              <w:bidi w:val="0"/>
              <w:adjustRightInd/>
              <w:spacing w:line="360" w:lineRule="auto"/>
              <w:jc w:val="left"/>
              <w:textAlignment w:val="auto"/>
              <w:rPr>
                <w:rFonts w:hint="default" w:ascii="宋体" w:hAnsi="宋体" w:eastAsia="宋体"/>
                <w:color w:val="000000"/>
                <w:sz w:val="24"/>
                <w:lang w:val="en-US" w:eastAsia="zh-CN"/>
              </w:rPr>
            </w:pPr>
            <w:r>
              <w:rPr>
                <w:rFonts w:hint="eastAsia" w:ascii="宋体" w:hAnsi="宋体"/>
                <w:color w:val="000000"/>
                <w:sz w:val="24"/>
                <w:lang w:val="en-US" w:eastAsia="zh-CN"/>
              </w:rPr>
              <w:t>每月收取软文发布费的10%（按实际留存月数一次性收取，另签协议）</w:t>
            </w:r>
          </w:p>
        </w:tc>
      </w:tr>
      <w:tr w14:paraId="2AA76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73" w:hRule="atLeast"/>
        </w:trPr>
        <w:tc>
          <w:tcPr>
            <w:tcW w:w="9854" w:type="dxa"/>
            <w:gridSpan w:val="3"/>
            <w:noWrap w:val="0"/>
            <w:vAlign w:val="center"/>
          </w:tcPr>
          <w:p w14:paraId="462CF917">
            <w:pPr>
              <w:pageBreakBefore w:val="0"/>
              <w:kinsoku/>
              <w:wordWrap/>
              <w:overflowPunct/>
              <w:topLinePunct w:val="0"/>
              <w:autoSpaceDE/>
              <w:autoSpaceDN/>
              <w:bidi w:val="0"/>
              <w:adjustRightInd/>
              <w:spacing w:line="360" w:lineRule="auto"/>
              <w:jc w:val="center"/>
              <w:textAlignment w:val="auto"/>
              <w:rPr>
                <w:rFonts w:hint="eastAsia" w:ascii="宋体" w:hAnsi="宋体"/>
                <w:color w:val="000000"/>
                <w:sz w:val="24"/>
              </w:rPr>
            </w:pPr>
            <w:r>
              <w:rPr>
                <w:rFonts w:ascii="宋体" w:hAnsi="宋体"/>
                <w:color w:val="000000"/>
                <w:sz w:val="24"/>
              </w:rPr>
              <w:t>费用合计</w:t>
            </w:r>
            <w:r>
              <w:rPr>
                <w:rFonts w:hint="eastAsia" w:ascii="宋体" w:hAnsi="宋体"/>
                <w:color w:val="000000"/>
                <w:sz w:val="24"/>
              </w:rPr>
              <w:t>：</w:t>
            </w:r>
          </w:p>
        </w:tc>
      </w:tr>
    </w:tbl>
    <w:p w14:paraId="55AF1EC9">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b/>
          <w:bCs/>
          <w:color w:val="000000"/>
          <w:sz w:val="24"/>
        </w:rPr>
      </w:pPr>
      <w:r>
        <w:rPr>
          <w:rFonts w:ascii="宋体" w:hAnsi="宋体"/>
          <w:b/>
          <w:bCs/>
          <w:color w:val="000000"/>
          <w:sz w:val="24"/>
        </w:rPr>
        <w:t>1.2 付款时间与方式</w:t>
      </w:r>
    </w:p>
    <w:p w14:paraId="13F84992">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color w:val="000000"/>
          <w:sz w:val="24"/>
          <w:lang w:val="en-US" w:eastAsia="zh-CN"/>
        </w:rPr>
        <w:t>通道费</w:t>
      </w:r>
      <w:r>
        <w:rPr>
          <w:rFonts w:hint="eastAsia" w:ascii="宋体" w:hAnsi="宋体"/>
          <w:color w:val="000000"/>
          <w:sz w:val="24"/>
        </w:rPr>
        <w:t>、</w:t>
      </w:r>
      <w:r>
        <w:rPr>
          <w:rFonts w:hint="eastAsia" w:ascii="宋体" w:hAnsi="宋体"/>
          <w:color w:val="000000"/>
          <w:sz w:val="24"/>
        </w:rPr>
        <w:t>保证金</w:t>
      </w:r>
      <w:r>
        <w:rPr>
          <w:rFonts w:hint="eastAsia" w:ascii="宋体" w:hAnsi="宋体"/>
          <w:color w:val="000000"/>
          <w:sz w:val="24"/>
          <w:lang w:eastAsia="zh-CN"/>
        </w:rPr>
        <w:t>、</w:t>
      </w:r>
      <w:r>
        <w:rPr>
          <w:rFonts w:hint="eastAsia" w:ascii="宋体" w:hAnsi="宋体"/>
          <w:color w:val="000000"/>
          <w:sz w:val="24"/>
        </w:rPr>
        <w:t>首期3个月</w:t>
      </w:r>
      <w:r>
        <w:rPr>
          <w:rFonts w:hint="eastAsia" w:ascii="宋体" w:hAnsi="宋体"/>
          <w:color w:val="000000"/>
          <w:sz w:val="24"/>
          <w:lang w:val="en-US" w:eastAsia="zh-CN"/>
        </w:rPr>
        <w:t>软文</w:t>
      </w:r>
      <w:r>
        <w:rPr>
          <w:rFonts w:hint="eastAsia" w:ascii="宋体" w:hAnsi="宋体"/>
          <w:color w:val="000000"/>
          <w:sz w:val="24"/>
        </w:rPr>
        <w:t>发布费，甲方应于合同签订起</w:t>
      </w:r>
      <w:r>
        <w:rPr>
          <w:rFonts w:hint="eastAsia" w:ascii="宋体" w:hAnsi="宋体"/>
          <w:color w:val="000000"/>
          <w:sz w:val="24"/>
          <w:lang w:val="en-US" w:eastAsia="zh-CN"/>
        </w:rPr>
        <w:t>3</w:t>
      </w:r>
      <w:r>
        <w:rPr>
          <w:rFonts w:hint="eastAsia" w:ascii="宋体" w:hAnsi="宋体"/>
          <w:color w:val="000000"/>
          <w:sz w:val="24"/>
        </w:rPr>
        <w:t>个工作日内，一并支付至乙方指定账户</w:t>
      </w:r>
      <w:r>
        <w:rPr>
          <w:rFonts w:hint="eastAsia" w:ascii="宋体" w:hAnsi="宋体"/>
          <w:color w:val="000000"/>
          <w:sz w:val="24"/>
          <w:lang w:eastAsia="zh-CN"/>
        </w:rPr>
        <w:t>（</w:t>
      </w:r>
      <w:r>
        <w:rPr>
          <w:rFonts w:hint="eastAsia" w:ascii="宋体" w:hAnsi="宋体"/>
          <w:color w:val="000000"/>
          <w:sz w:val="24"/>
          <w:lang w:val="en-US" w:eastAsia="zh-CN"/>
        </w:rPr>
        <w:t>其中保证金单独打款并备注说明</w:t>
      </w:r>
      <w:r>
        <w:rPr>
          <w:rFonts w:hint="eastAsia" w:ascii="宋体" w:hAnsi="宋体"/>
          <w:color w:val="000000"/>
          <w:sz w:val="24"/>
          <w:lang w:eastAsia="zh-CN"/>
        </w:rPr>
        <w:t>）</w:t>
      </w:r>
      <w:r>
        <w:rPr>
          <w:rFonts w:hint="eastAsia" w:ascii="宋体" w:hAnsi="宋体"/>
          <w:color w:val="000000"/>
          <w:sz w:val="24"/>
        </w:rPr>
        <w:t>，合计金额：_______元；</w:t>
      </w:r>
    </w:p>
    <w:p w14:paraId="502A2968">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color w:val="000000"/>
          <w:sz w:val="24"/>
        </w:rPr>
        <w:t>后续合作费用按季度结算，甲方需于每季度首月前五个工作日内，向乙方支付当季合作费用人民币_______元。</w:t>
      </w:r>
      <w:r>
        <w:rPr>
          <w:rFonts w:ascii="宋体" w:hAnsi="宋体"/>
          <w:color w:val="000000"/>
          <w:sz w:val="24"/>
        </w:rPr>
        <w:t xml:space="preserve"> </w:t>
      </w:r>
    </w:p>
    <w:p w14:paraId="5D0A7B75">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乙方指定现金收款账户：</w:t>
      </w:r>
    </w:p>
    <w:p w14:paraId="6C7F4F62">
      <w:pPr>
        <w:pageBreakBefore w:val="0"/>
        <w:kinsoku/>
        <w:wordWrap/>
        <w:overflowPunct/>
        <w:topLinePunct w:val="0"/>
        <w:autoSpaceDE/>
        <w:autoSpaceDN/>
        <w:bidi w:val="0"/>
        <w:adjustRightInd/>
        <w:spacing w:line="360" w:lineRule="auto"/>
        <w:ind w:firstLine="480" w:firstLineChars="200"/>
        <w:textAlignment w:val="auto"/>
        <w:rPr>
          <w:rFonts w:hint="eastAsia" w:ascii="方正仿宋简体" w:hAnsi="方正仿宋简体" w:eastAsia="方正仿宋简体" w:cs="方正仿宋简体"/>
          <w:i w:val="0"/>
          <w:iCs w:val="0"/>
          <w:color w:val="000000"/>
          <w:sz w:val="24"/>
        </w:rPr>
      </w:pPr>
      <w:r>
        <w:rPr>
          <w:rFonts w:hint="eastAsia" w:ascii="方正仿宋简体" w:hAnsi="方正仿宋简体" w:eastAsia="方正仿宋简体" w:cs="方正仿宋简体"/>
          <w:i w:val="0"/>
          <w:iCs w:val="0"/>
          <w:color w:val="000000"/>
          <w:sz w:val="24"/>
        </w:rPr>
        <w:t xml:space="preserve">户  名：浙江网经社信息科技有限公司 </w:t>
      </w:r>
    </w:p>
    <w:p w14:paraId="1FFAD91B">
      <w:pPr>
        <w:pageBreakBefore w:val="0"/>
        <w:kinsoku/>
        <w:wordWrap/>
        <w:overflowPunct/>
        <w:topLinePunct w:val="0"/>
        <w:autoSpaceDE/>
        <w:autoSpaceDN/>
        <w:bidi w:val="0"/>
        <w:adjustRightInd/>
        <w:spacing w:line="360" w:lineRule="auto"/>
        <w:ind w:firstLine="480" w:firstLineChars="200"/>
        <w:textAlignment w:val="auto"/>
        <w:rPr>
          <w:rFonts w:hint="eastAsia" w:ascii="方正仿宋简体" w:hAnsi="方正仿宋简体" w:eastAsia="方正仿宋简体" w:cs="方正仿宋简体"/>
          <w:i w:val="0"/>
          <w:iCs w:val="0"/>
          <w:color w:val="000000"/>
          <w:sz w:val="24"/>
        </w:rPr>
      </w:pPr>
      <w:r>
        <w:rPr>
          <w:rFonts w:hint="eastAsia" w:ascii="方正仿宋简体" w:hAnsi="方正仿宋简体" w:eastAsia="方正仿宋简体" w:cs="方正仿宋简体"/>
          <w:i w:val="0"/>
          <w:iCs w:val="0"/>
          <w:color w:val="000000"/>
          <w:sz w:val="24"/>
        </w:rPr>
        <w:t>开户行：招商银行股份有限公司杭州湖墅支行</w:t>
      </w:r>
    </w:p>
    <w:p w14:paraId="21AF3463">
      <w:pPr>
        <w:pageBreakBefore w:val="0"/>
        <w:kinsoku/>
        <w:wordWrap/>
        <w:overflowPunct/>
        <w:topLinePunct w:val="0"/>
        <w:autoSpaceDE/>
        <w:autoSpaceDN/>
        <w:bidi w:val="0"/>
        <w:adjustRightInd/>
        <w:spacing w:line="360" w:lineRule="auto"/>
        <w:ind w:firstLine="480" w:firstLineChars="200"/>
        <w:textAlignment w:val="auto"/>
        <w:rPr>
          <w:rFonts w:hint="eastAsia" w:ascii="方正仿宋简体" w:hAnsi="方正仿宋简体" w:eastAsia="方正仿宋简体" w:cs="方正仿宋简体"/>
          <w:i w:val="0"/>
          <w:iCs w:val="0"/>
          <w:color w:val="000000"/>
          <w:sz w:val="24"/>
        </w:rPr>
      </w:pPr>
      <w:r>
        <w:rPr>
          <w:rFonts w:hint="eastAsia" w:ascii="方正仿宋简体" w:hAnsi="方正仿宋简体" w:eastAsia="方正仿宋简体" w:cs="方正仿宋简体"/>
          <w:i w:val="0"/>
          <w:iCs w:val="0"/>
          <w:color w:val="000000"/>
          <w:sz w:val="24"/>
        </w:rPr>
        <w:t xml:space="preserve">帐  号：571905232510801 </w:t>
      </w:r>
    </w:p>
    <w:p w14:paraId="125238BB">
      <w:pPr>
        <w:pageBreakBefore w:val="0"/>
        <w:kinsoku/>
        <w:wordWrap/>
        <w:overflowPunct/>
        <w:topLinePunct w:val="0"/>
        <w:autoSpaceDE/>
        <w:autoSpaceDN/>
        <w:bidi w:val="0"/>
        <w:adjustRightInd/>
        <w:spacing w:line="360" w:lineRule="auto"/>
        <w:ind w:firstLine="480" w:firstLineChars="200"/>
        <w:textAlignment w:val="auto"/>
        <w:rPr>
          <w:rFonts w:ascii="宋体" w:hAnsi="宋体"/>
          <w:b/>
          <w:bCs/>
          <w:color w:val="000000" w:themeColor="text1"/>
          <w:sz w:val="24"/>
          <w14:textFill>
            <w14:solidFill>
              <w14:schemeClr w14:val="tx1"/>
            </w14:solidFill>
          </w14:textFill>
        </w:rPr>
      </w:pPr>
      <w:r>
        <w:rPr>
          <w:rFonts w:ascii="宋体" w:hAnsi="宋体"/>
          <w:b/>
          <w:bCs/>
          <w:color w:val="000000"/>
          <w:sz w:val="24"/>
        </w:rPr>
        <w:t>1.3</w:t>
      </w:r>
      <w:r>
        <w:rPr>
          <w:rFonts w:hint="eastAsia" w:ascii="宋体" w:hAnsi="宋体"/>
          <w:b w:val="0"/>
          <w:bCs w:val="0"/>
          <w:color w:val="000000"/>
          <w:sz w:val="24"/>
        </w:rPr>
        <w:t>乙方收到款项后，向甲方开具相应金额的</w:t>
      </w:r>
      <w:r>
        <w:rPr>
          <w:rFonts w:hint="eastAsia" w:ascii="宋体" w:hAnsi="宋体"/>
          <w:b/>
          <w:bCs/>
          <w:color w:val="000000"/>
          <w:sz w:val="24"/>
        </w:rPr>
        <w:t>增值税专用发票</w:t>
      </w:r>
      <w:r>
        <w:rPr>
          <w:rFonts w:hint="eastAsia" w:ascii="宋体" w:hAnsi="宋体"/>
          <w:b/>
          <w:bCs/>
          <w:color w:val="000000" w:themeColor="text1"/>
          <w:sz w:val="24"/>
          <w:lang w:eastAsia="zh-CN"/>
          <w14:textFill>
            <w14:solidFill>
              <w14:schemeClr w14:val="tx1"/>
            </w14:solidFill>
          </w14:textFill>
        </w:rPr>
        <w:t>（</w:t>
      </w:r>
      <w:r>
        <w:rPr>
          <w:rFonts w:hint="eastAsia" w:ascii="宋体" w:hAnsi="宋体"/>
          <w:b/>
          <w:bCs/>
          <w:color w:val="000000" w:themeColor="text1"/>
          <w:sz w:val="24"/>
          <w:lang w:val="en-US" w:eastAsia="zh-CN"/>
          <w14:textFill>
            <w14:solidFill>
              <w14:schemeClr w14:val="tx1"/>
            </w14:solidFill>
          </w14:textFill>
        </w:rPr>
        <w:t xml:space="preserve">信息服务费、网络服务费、网络宣传费 三选一 </w:t>
      </w:r>
      <w:r>
        <w:rPr>
          <w:rFonts w:hint="eastAsia" w:ascii="宋体" w:hAnsi="宋体"/>
          <w:b/>
          <w:bCs/>
          <w:color w:val="000000" w:themeColor="text1"/>
          <w:sz w:val="24"/>
          <w:lang w:eastAsia="zh-CN"/>
          <w14:textFill>
            <w14:solidFill>
              <w14:schemeClr w14:val="tx1"/>
            </w14:solidFill>
          </w14:textFill>
        </w:rPr>
        <w:t>）</w:t>
      </w:r>
      <w:r>
        <w:rPr>
          <w:rFonts w:hint="eastAsia" w:ascii="宋体" w:hAnsi="宋体"/>
          <w:b w:val="0"/>
          <w:bCs w:val="0"/>
          <w:color w:val="000000" w:themeColor="text1"/>
          <w:sz w:val="24"/>
          <w14:textFill>
            <w14:solidFill>
              <w14:schemeClr w14:val="tx1"/>
            </w14:solidFill>
          </w14:textFill>
        </w:rPr>
        <w:t>。</w:t>
      </w:r>
    </w:p>
    <w:p w14:paraId="1F6C5303">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b/>
          <w:bCs/>
          <w:color w:val="000000"/>
          <w:sz w:val="24"/>
        </w:rPr>
        <w:t>1</w:t>
      </w:r>
      <w:r>
        <w:rPr>
          <w:rFonts w:ascii="宋体" w:hAnsi="宋体"/>
          <w:b/>
          <w:bCs/>
          <w:color w:val="000000"/>
          <w:sz w:val="24"/>
        </w:rPr>
        <w:t>.</w:t>
      </w:r>
      <w:r>
        <w:rPr>
          <w:rFonts w:hint="eastAsia" w:ascii="宋体" w:hAnsi="宋体"/>
          <w:b/>
          <w:bCs/>
          <w:color w:val="000000"/>
          <w:sz w:val="24"/>
          <w:lang w:val="en-US" w:eastAsia="zh-CN"/>
        </w:rPr>
        <w:t>4本合同有效期</w:t>
      </w:r>
      <w:r>
        <w:rPr>
          <w:rFonts w:hint="eastAsia" w:ascii="宋体" w:hAnsi="宋体"/>
          <w:b w:val="0"/>
          <w:bCs w:val="0"/>
          <w:color w:val="000000"/>
          <w:sz w:val="24"/>
          <w:lang w:val="en-US" w:eastAsia="zh-CN"/>
        </w:rPr>
        <w:t>自______年____月____日起至______年____月____日止。合同期满不自动续期，双方有意继续合作的，根据乙方最新合同模板另行签订书面协议。</w:t>
      </w:r>
    </w:p>
    <w:p w14:paraId="69CD2D5F">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bookmarkStart w:id="9" w:name="OLE_LINK5"/>
      <w:r>
        <w:rPr>
          <w:rFonts w:hint="eastAsia" w:ascii="宋体" w:hAnsi="宋体"/>
          <w:b/>
          <w:bCs/>
          <w:color w:val="000000"/>
          <w:sz w:val="28"/>
          <w:szCs w:val="28"/>
        </w:rPr>
        <w:t>二、双方权利及义务</w:t>
      </w:r>
    </w:p>
    <w:bookmarkEnd w:id="9"/>
    <w:p w14:paraId="63D64088">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b/>
          <w:bCs/>
          <w:color w:val="000000"/>
          <w:sz w:val="24"/>
        </w:rPr>
      </w:pPr>
      <w:r>
        <w:rPr>
          <w:rFonts w:hint="eastAsia" w:ascii="宋体" w:hAnsi="宋体"/>
          <w:b/>
          <w:bCs/>
          <w:color w:val="000000"/>
          <w:sz w:val="24"/>
        </w:rPr>
        <w:t>2</w:t>
      </w:r>
      <w:r>
        <w:rPr>
          <w:rFonts w:ascii="宋体" w:hAnsi="宋体"/>
          <w:b/>
          <w:bCs/>
          <w:color w:val="000000"/>
          <w:sz w:val="24"/>
        </w:rPr>
        <w:t xml:space="preserve">.1 </w:t>
      </w:r>
      <w:r>
        <w:rPr>
          <w:rFonts w:hint="eastAsia" w:ascii="宋体" w:hAnsi="宋体"/>
          <w:b/>
          <w:bCs/>
          <w:color w:val="000000"/>
          <w:sz w:val="24"/>
        </w:rPr>
        <w:t>甲方权利与义务</w:t>
      </w:r>
    </w:p>
    <w:p w14:paraId="363F25F0">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甲方应在约定时期内向乙方支付相关费用。</w:t>
      </w:r>
    </w:p>
    <w:p w14:paraId="511A2E78">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甲方仅可在所提供二级目录下发布软文信息（可带联系方式，禁止搭建官网，</w:t>
      </w:r>
      <w:r>
        <w:rPr>
          <w:rFonts w:hint="eastAsia" w:ascii="宋体" w:hAnsi="宋体"/>
          <w:color w:val="000000"/>
          <w:sz w:val="24"/>
          <w:lang w:val="en-US" w:eastAsia="zh-CN"/>
        </w:rPr>
        <w:t>禁止</w:t>
      </w:r>
      <w:r>
        <w:rPr>
          <w:rFonts w:ascii="宋体" w:hAnsi="宋体" w:eastAsia="宋体"/>
          <w:sz w:val="24"/>
          <w:szCs w:val="28"/>
        </w:rPr>
        <w:t>私自添加违规友链、黑链、垃圾外链</w:t>
      </w:r>
      <w:r>
        <w:rPr>
          <w:rFonts w:hint="eastAsia" w:ascii="宋体" w:hAnsi="宋体" w:eastAsia="宋体"/>
          <w:sz w:val="24"/>
          <w:szCs w:val="28"/>
          <w:lang w:eastAsia="zh-CN"/>
        </w:rPr>
        <w:t>、</w:t>
      </w:r>
      <w:r>
        <w:rPr>
          <w:rFonts w:ascii="宋体" w:hAnsi="宋体" w:eastAsia="宋体" w:cs="宋体"/>
          <w:b w:val="0"/>
          <w:sz w:val="24"/>
          <w:lang w:val="zh-CN" w:eastAsia="zh-CN"/>
        </w:rPr>
        <w:t>禁止通过技术手段跳转至外部网站</w:t>
      </w:r>
      <w:r>
        <w:rPr>
          <w:rFonts w:hint="eastAsia" w:ascii="宋体" w:hAnsi="宋体"/>
          <w:color w:val="000000"/>
          <w:sz w:val="24"/>
        </w:rPr>
        <w:t>），保证发布内容的陈述、功能、效果等描述真实合法</w:t>
      </w:r>
      <w:r>
        <w:rPr>
          <w:rFonts w:hint="eastAsia" w:ascii="宋体" w:hAnsi="宋体"/>
          <w:color w:val="000000"/>
          <w:sz w:val="24"/>
          <w:lang w:val="en-US" w:eastAsia="zh-CN"/>
        </w:rPr>
        <w:t>合规</w:t>
      </w:r>
      <w:r>
        <w:rPr>
          <w:rFonts w:hint="eastAsia" w:ascii="宋体" w:hAnsi="宋体"/>
          <w:color w:val="000000"/>
          <w:sz w:val="24"/>
        </w:rPr>
        <w:t>；因内容真实性、合法性引发的一切后果由甲方独立承担。</w:t>
      </w:r>
    </w:p>
    <w:p w14:paraId="1F4A0C22">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hint="eastAsia" w:ascii="宋体" w:hAnsi="宋体"/>
          <w:color w:val="000000"/>
          <w:sz w:val="24"/>
        </w:rPr>
        <w:t>3</w:t>
      </w:r>
      <w:r>
        <w:rPr>
          <w:rFonts w:ascii="宋体" w:hAnsi="宋体"/>
          <w:color w:val="000000"/>
          <w:sz w:val="24"/>
        </w:rPr>
        <w:t>.</w:t>
      </w:r>
      <w:r>
        <w:rPr>
          <w:rFonts w:hint="eastAsia" w:ascii="宋体" w:hAnsi="宋体"/>
          <w:color w:val="000000"/>
          <w:sz w:val="24"/>
        </w:rPr>
        <w:t>甲方指定专人对接合规事宜，确保乙方发出的整改、删除通知能够得到及时响应。</w:t>
      </w:r>
    </w:p>
    <w:p w14:paraId="25A4D265">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ascii="宋体" w:hAnsi="宋体"/>
          <w:color w:val="000000"/>
          <w:sz w:val="24"/>
        </w:rPr>
        <w:t>甲方保证合作内容不侵犯任何第三方的知识产权、肖像权、名誉权、隐私权等合法权益，</w:t>
      </w:r>
      <w:r>
        <w:rPr>
          <w:rFonts w:hint="eastAsia" w:ascii="宋体" w:hAnsi="宋体"/>
          <w:color w:val="000000"/>
          <w:sz w:val="24"/>
          <w:lang w:val="zh-CN" w:eastAsia="zh-CN"/>
        </w:rPr>
        <w:t>相关授权文件真实、有效、完整；如因此引发纠纷，甲方应负责处理并承担全部责任；</w:t>
      </w:r>
    </w:p>
    <w:p w14:paraId="7EB1BA24">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eastAsia="宋体" w:cs="宋体"/>
          <w:b w:val="0"/>
          <w:sz w:val="24"/>
          <w:lang w:val="zh-CN" w:eastAsia="zh-CN"/>
        </w:rPr>
      </w:pPr>
      <w:r>
        <w:rPr>
          <w:rFonts w:hint="eastAsia" w:ascii="宋体" w:hAnsi="宋体"/>
          <w:color w:val="000000"/>
          <w:sz w:val="24"/>
          <w:lang w:val="en-US" w:eastAsia="zh-CN"/>
        </w:rPr>
        <w:t>5.</w:t>
      </w:r>
      <w:r>
        <w:rPr>
          <w:rFonts w:ascii="宋体" w:hAnsi="宋体" w:eastAsia="宋体" w:cs="宋体"/>
          <w:b w:val="0"/>
          <w:sz w:val="24"/>
          <w:lang w:val="zh-CN" w:eastAsia="zh-CN"/>
        </w:rPr>
        <w:t>甲方不得利用乙方提供的发布通道从事任何危害网络安全的行为，包括但不限于植入恶意代码、木马程序、钓鱼链接、采集用户数据、实施DDoS攻击等；</w:t>
      </w:r>
    </w:p>
    <w:p w14:paraId="1F9C1EF7">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6.甲方不得将乙方提供的发稿账号、密码、二级目录权限转让、出租、出借给任何第三方使用；</w:t>
      </w:r>
    </w:p>
    <w:p w14:paraId="1B5C9BDD">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default" w:ascii="宋体" w:hAnsi="宋体" w:eastAsia="宋体" w:cs="宋体"/>
          <w:b w:val="0"/>
          <w:sz w:val="24"/>
          <w:lang w:val="en-US" w:eastAsia="zh-CN"/>
        </w:rPr>
      </w:pPr>
      <w:r>
        <w:rPr>
          <w:rFonts w:hint="eastAsia" w:ascii="宋体" w:hAnsi="宋体" w:eastAsia="宋体" w:cs="宋体"/>
          <w:b w:val="0"/>
          <w:sz w:val="24"/>
          <w:lang w:val="en-US" w:eastAsia="zh-CN"/>
        </w:rPr>
        <w:t>7.甲方在使用乙方品牌名称、标识、平台信息进行对外宣传时，应事先取得乙方书面同意，不得进行虚假或夸大宣传，不得使第三方误认为甲方与乙方存在关联、合资、担保等超出本合同范围的关系。</w:t>
      </w:r>
    </w:p>
    <w:p w14:paraId="194A709F">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b/>
          <w:bCs/>
          <w:color w:val="000000"/>
          <w:sz w:val="24"/>
        </w:rPr>
      </w:pPr>
      <w:r>
        <w:rPr>
          <w:rFonts w:hint="eastAsia" w:ascii="宋体" w:hAnsi="宋体"/>
          <w:b/>
          <w:bCs/>
          <w:color w:val="000000"/>
          <w:sz w:val="24"/>
        </w:rPr>
        <w:t>2</w:t>
      </w:r>
      <w:r>
        <w:rPr>
          <w:rFonts w:ascii="宋体" w:hAnsi="宋体"/>
          <w:b/>
          <w:bCs/>
          <w:color w:val="000000"/>
          <w:sz w:val="24"/>
        </w:rPr>
        <w:t>.2 乙方权利与义务</w:t>
      </w:r>
    </w:p>
    <w:p w14:paraId="262D2A6A">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1.</w:t>
      </w:r>
      <w:r>
        <w:rPr>
          <w:rFonts w:hint="eastAsia" w:ascii="宋体" w:hAnsi="宋体"/>
          <w:color w:val="000000"/>
          <w:sz w:val="24"/>
          <w:lang w:val="zh-CN" w:eastAsia="zh-CN"/>
        </w:rPr>
        <w:t>乙方在收到甲方首付款后1-2个工作日内，为甲方开通专属二级目录、分配发稿账号及后台权限，并提供操作培训与技术支持；</w:t>
      </w:r>
    </w:p>
    <w:p w14:paraId="125CAE1D">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color w:val="000000"/>
          <w:sz w:val="24"/>
        </w:rPr>
        <w:t>2.乙方仅对甲方提交内容承担</w:t>
      </w:r>
      <w:r>
        <w:rPr>
          <w:rFonts w:hint="eastAsia" w:ascii="宋体" w:hAnsi="宋体"/>
          <w:b/>
          <w:bCs/>
          <w:color w:val="000000"/>
          <w:sz w:val="24"/>
        </w:rPr>
        <w:t>“形式合规性审查”</w:t>
      </w:r>
      <w:r>
        <w:rPr>
          <w:rFonts w:hint="eastAsia" w:ascii="宋体" w:hAnsi="宋体"/>
          <w:color w:val="000000"/>
          <w:sz w:val="24"/>
        </w:rPr>
        <w:t>义务，不对内容的真实性、准确性、商业合法性承担实质审核责任；对不符合法律法规、监管政策及本合同约定的内容，乙方有权要求甲方修改或直接删除</w:t>
      </w:r>
      <w:r>
        <w:rPr>
          <w:rFonts w:hint="eastAsia" w:ascii="宋体" w:hAnsi="宋体"/>
          <w:color w:val="000000"/>
          <w:sz w:val="24"/>
          <w:lang w:eastAsia="zh-CN"/>
        </w:rPr>
        <w:t>（</w:t>
      </w:r>
      <w:r>
        <w:rPr>
          <w:rFonts w:hint="eastAsia" w:ascii="宋体" w:hAnsi="宋体"/>
          <w:color w:val="000000"/>
          <w:sz w:val="24"/>
          <w:lang w:val="en-US" w:eastAsia="zh-CN"/>
        </w:rPr>
        <w:t>删除内容算在发布总数里</w:t>
      </w:r>
      <w:r>
        <w:rPr>
          <w:rFonts w:hint="eastAsia" w:ascii="宋体" w:hAnsi="宋体"/>
          <w:color w:val="000000"/>
          <w:sz w:val="24"/>
          <w:lang w:eastAsia="zh-CN"/>
        </w:rPr>
        <w:t>）</w:t>
      </w:r>
      <w:r>
        <w:rPr>
          <w:rFonts w:hint="eastAsia" w:ascii="宋体" w:hAnsi="宋体"/>
          <w:color w:val="000000"/>
          <w:sz w:val="24"/>
        </w:rPr>
        <w:t>，且不承担违约责任。</w:t>
      </w:r>
    </w:p>
    <w:p w14:paraId="102E52A7">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color w:val="000000"/>
          <w:sz w:val="24"/>
        </w:rPr>
        <w:t>3</w:t>
      </w:r>
      <w:r>
        <w:rPr>
          <w:rFonts w:ascii="宋体" w:hAnsi="宋体"/>
          <w:color w:val="000000"/>
          <w:sz w:val="24"/>
        </w:rPr>
        <w:t>.</w:t>
      </w:r>
      <w:r>
        <w:rPr>
          <w:rFonts w:hint="eastAsia" w:ascii="宋体" w:hAnsi="宋体"/>
          <w:color w:val="000000"/>
          <w:sz w:val="24"/>
        </w:rPr>
        <w:t>乙方发现已发布内容存在违规风险的，有权立即采取删除内容、暂停发布权限、暂时关闭合作二级目录等应急措施，无需提前通知甲方；因此产生的不利后果由甲方自行承担。</w:t>
      </w:r>
    </w:p>
    <w:p w14:paraId="778FEEE8">
      <w:pPr>
        <w:pageBreakBefore w:val="0"/>
        <w:kinsoku/>
        <w:wordWrap/>
        <w:overflowPunct/>
        <w:topLinePunct w:val="0"/>
        <w:autoSpaceDE/>
        <w:autoSpaceDN/>
        <w:bidi w:val="0"/>
        <w:adjustRightInd/>
        <w:spacing w:line="360" w:lineRule="auto"/>
        <w:ind w:firstLine="480" w:firstLineChars="200"/>
        <w:jc w:val="left"/>
        <w:textAlignment w:val="auto"/>
        <w:rPr>
          <w:rFonts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color w:val="000000"/>
        </w:rPr>
        <w:t xml:space="preserve"> </w:t>
      </w:r>
      <w:r>
        <w:rPr>
          <w:rFonts w:hint="eastAsia" w:ascii="宋体" w:hAnsi="宋体"/>
          <w:color w:val="000000"/>
          <w:sz w:val="24"/>
        </w:rPr>
        <w:t>如因法律法规修订、监管政策调整、平台规则更新导致甲方合作内容不再符合要求的，乙方有权通知甲方限期整改；甲方逾期未整改的，乙方有权终止相关内容发布或单方解除本合同，且不承担违约责任。</w:t>
      </w:r>
    </w:p>
    <w:p w14:paraId="240378CB">
      <w:pPr>
        <w:pageBreakBefore w:val="0"/>
        <w:kinsoku/>
        <w:wordWrap/>
        <w:overflowPunct/>
        <w:topLinePunct w:val="0"/>
        <w:autoSpaceDE/>
        <w:autoSpaceDN/>
        <w:bidi w:val="0"/>
        <w:adjustRightInd/>
        <w:spacing w:line="360" w:lineRule="auto"/>
        <w:ind w:firstLine="560" w:firstLineChars="200"/>
        <w:jc w:val="left"/>
        <w:textAlignment w:val="auto"/>
        <w:rPr>
          <w:rFonts w:ascii="宋体" w:hAnsi="宋体"/>
          <w:color w:val="000000"/>
          <w:sz w:val="28"/>
          <w:szCs w:val="28"/>
        </w:rPr>
      </w:pPr>
      <w:r>
        <w:rPr>
          <w:rFonts w:hint="eastAsia" w:ascii="宋体" w:hAnsi="宋体"/>
          <w:color w:val="000000"/>
          <w:sz w:val="28"/>
          <w:szCs w:val="28"/>
        </w:rPr>
        <w:t>5</w:t>
      </w:r>
      <w:r>
        <w:rPr>
          <w:rFonts w:ascii="宋体" w:hAnsi="宋体"/>
          <w:color w:val="000000"/>
          <w:sz w:val="28"/>
          <w:szCs w:val="28"/>
        </w:rPr>
        <w:t>.</w:t>
      </w:r>
      <w:r>
        <w:rPr>
          <w:rFonts w:hint="eastAsia"/>
          <w:color w:val="000000"/>
          <w:sz w:val="22"/>
          <w:szCs w:val="28"/>
        </w:rPr>
        <w:t xml:space="preserve"> </w:t>
      </w:r>
      <w:r>
        <w:rPr>
          <w:rFonts w:hint="eastAsia"/>
          <w:color w:val="000000"/>
          <w:sz w:val="22"/>
          <w:szCs w:val="28"/>
          <w:lang w:val="zh-CN" w:eastAsia="zh-CN"/>
        </w:rPr>
        <w:t>乙方</w:t>
      </w:r>
      <w:r>
        <w:rPr>
          <w:rFonts w:hint="eastAsia"/>
          <w:color w:val="000000"/>
          <w:sz w:val="22"/>
          <w:szCs w:val="28"/>
          <w:lang w:val="en-US" w:eastAsia="zh-CN"/>
        </w:rPr>
        <w:t>尽可能优化GEO收录效果，但</w:t>
      </w:r>
      <w:r>
        <w:rPr>
          <w:rFonts w:hint="eastAsia"/>
          <w:color w:val="000000"/>
          <w:sz w:val="22"/>
          <w:szCs w:val="28"/>
          <w:lang w:val="zh-CN" w:eastAsia="zh-CN"/>
        </w:rPr>
        <w:t>不对甲方发布内容被AI大模型引用的效果、排名、频次、转化结果作出任何承诺或保证；GEO优化效果受AI模型算法、内容质量、关键词布局等多重因素影响，乙方仅提供发布通道与信源基础，不承担效果不达预期的责任；</w:t>
      </w:r>
    </w:p>
    <w:p w14:paraId="559D852B">
      <w:pPr>
        <w:pageBreakBefore w:val="0"/>
        <w:numPr>
          <w:ilvl w:val="0"/>
          <w:numId w:val="2"/>
        </w:numPr>
        <w:kinsoku/>
        <w:wordWrap/>
        <w:overflowPunct/>
        <w:topLinePunct w:val="0"/>
        <w:autoSpaceDE/>
        <w:autoSpaceDN/>
        <w:bidi w:val="0"/>
        <w:adjustRightInd/>
        <w:spacing w:line="360" w:lineRule="auto"/>
        <w:textAlignment w:val="auto"/>
        <w:rPr>
          <w:rFonts w:hint="eastAsia" w:ascii="宋体" w:hAnsi="宋体"/>
          <w:b/>
          <w:bCs/>
          <w:color w:val="000000"/>
          <w:sz w:val="28"/>
          <w:szCs w:val="28"/>
        </w:rPr>
      </w:pPr>
      <w:bookmarkStart w:id="10" w:name="OLE_LINK6"/>
      <w:r>
        <w:rPr>
          <w:rFonts w:hint="eastAsia" w:ascii="宋体" w:hAnsi="宋体"/>
          <w:b/>
          <w:bCs/>
          <w:color w:val="000000"/>
          <w:sz w:val="28"/>
          <w:szCs w:val="28"/>
        </w:rPr>
        <w:t>合作内容规范</w:t>
      </w:r>
      <w:bookmarkEnd w:id="10"/>
    </w:p>
    <w:p w14:paraId="25789796">
      <w:pPr>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olor w:val="000000"/>
          <w:sz w:val="24"/>
        </w:rPr>
      </w:pPr>
      <w:r>
        <w:rPr>
          <w:rFonts w:hint="eastAsia" w:ascii="宋体" w:hAnsi="宋体"/>
          <w:color w:val="000000"/>
          <w:sz w:val="24"/>
        </w:rPr>
        <w:t>甲方仅可发布合规公司的宣传软文，严禁发布包括但不限于以下违法、违规内容：</w:t>
      </w:r>
    </w:p>
    <w:p w14:paraId="6AE3DE6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Times New Roman"/>
          <w:b/>
          <w:bCs/>
          <w:color w:val="000000"/>
          <w:sz w:val="24"/>
        </w:rPr>
      </w:pPr>
      <w:r>
        <w:rPr>
          <w:rFonts w:ascii="宋体" w:hAnsi="宋体" w:eastAsia="宋体" w:cs="Times New Roman"/>
          <w:b/>
          <w:bCs/>
          <w:color w:val="000000"/>
          <w:sz w:val="24"/>
        </w:rPr>
        <w:t>3</w:t>
      </w:r>
      <w:r>
        <w:rPr>
          <w:rFonts w:hint="eastAsia" w:ascii="宋体" w:hAnsi="宋体" w:eastAsia="宋体" w:cs="Times New Roman"/>
          <w:b/>
          <w:bCs/>
          <w:color w:val="000000"/>
          <w:sz w:val="24"/>
        </w:rPr>
        <w:t xml:space="preserve">.1 </w:t>
      </w:r>
      <w:r>
        <w:rPr>
          <w:rFonts w:hint="eastAsia" w:ascii="宋体" w:hAnsi="宋体" w:eastAsia="宋体" w:cs="Times New Roman"/>
          <w:b/>
          <w:bCs/>
          <w:color w:val="000000"/>
          <w:sz w:val="24"/>
          <w:lang w:val="zh-CN" w:eastAsia="zh-CN"/>
        </w:rPr>
        <w:t>禁止发布内容清单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2268"/>
        <w:gridCol w:w="5953"/>
      </w:tblGrid>
      <w:tr w14:paraId="425AA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shd w:val="clear" w:color="auto" w:fill="D9E2F3"/>
            <w:noWrap w:val="0"/>
            <w:vAlign w:val="top"/>
          </w:tcPr>
          <w:p w14:paraId="13188DE6">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序号</w:t>
            </w:r>
          </w:p>
        </w:tc>
        <w:tc>
          <w:tcPr>
            <w:tcW w:w="2268" w:type="dxa"/>
            <w:shd w:val="clear" w:color="auto" w:fill="D9E2F3"/>
            <w:noWrap w:val="0"/>
            <w:vAlign w:val="top"/>
          </w:tcPr>
          <w:p w14:paraId="239AA3E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禁止内容类别</w:t>
            </w:r>
          </w:p>
        </w:tc>
        <w:tc>
          <w:tcPr>
            <w:tcW w:w="5953" w:type="dxa"/>
            <w:shd w:val="clear" w:color="auto" w:fill="D9E2F3"/>
            <w:noWrap w:val="0"/>
            <w:vAlign w:val="top"/>
          </w:tcPr>
          <w:p w14:paraId="67DCA802">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具体情形</w:t>
            </w:r>
          </w:p>
        </w:tc>
      </w:tr>
      <w:tr w14:paraId="3477B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0DA6E1FB">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w:t>
            </w:r>
          </w:p>
        </w:tc>
        <w:tc>
          <w:tcPr>
            <w:tcW w:w="2268" w:type="dxa"/>
            <w:noWrap w:val="0"/>
            <w:vAlign w:val="top"/>
          </w:tcPr>
          <w:p w14:paraId="36AB5217">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反对宪法基本原则</w:t>
            </w:r>
          </w:p>
        </w:tc>
        <w:tc>
          <w:tcPr>
            <w:tcW w:w="5953" w:type="dxa"/>
            <w:noWrap w:val="0"/>
            <w:vAlign w:val="top"/>
          </w:tcPr>
          <w:p w14:paraId="4098FBFA">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反对宪法所确定的基本原则的</w:t>
            </w:r>
          </w:p>
        </w:tc>
      </w:tr>
      <w:tr w14:paraId="7128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7540A03E">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2</w:t>
            </w:r>
          </w:p>
        </w:tc>
        <w:tc>
          <w:tcPr>
            <w:tcW w:w="2268" w:type="dxa"/>
            <w:noWrap w:val="0"/>
            <w:vAlign w:val="top"/>
          </w:tcPr>
          <w:p w14:paraId="16E6BD19">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危害国家安全</w:t>
            </w:r>
          </w:p>
        </w:tc>
        <w:tc>
          <w:tcPr>
            <w:tcW w:w="5953" w:type="dxa"/>
            <w:noWrap w:val="0"/>
            <w:vAlign w:val="top"/>
          </w:tcPr>
          <w:p w14:paraId="7372B71E">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危害国家安全，泄露国家秘密，颠覆国家政权，破坏国家统一的</w:t>
            </w:r>
          </w:p>
        </w:tc>
      </w:tr>
      <w:tr w14:paraId="661E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57EE60CF">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3</w:t>
            </w:r>
          </w:p>
        </w:tc>
        <w:tc>
          <w:tcPr>
            <w:tcW w:w="2268" w:type="dxa"/>
            <w:noWrap w:val="0"/>
            <w:vAlign w:val="top"/>
          </w:tcPr>
          <w:p w14:paraId="48E6AF71">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损害国家利益</w:t>
            </w:r>
          </w:p>
        </w:tc>
        <w:tc>
          <w:tcPr>
            <w:tcW w:w="5953" w:type="dxa"/>
            <w:noWrap w:val="0"/>
            <w:vAlign w:val="top"/>
          </w:tcPr>
          <w:p w14:paraId="34A7C7FE">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损害国家荣誉和利益的</w:t>
            </w:r>
          </w:p>
        </w:tc>
      </w:tr>
      <w:tr w14:paraId="085DF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3A1D7947">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4</w:t>
            </w:r>
          </w:p>
        </w:tc>
        <w:tc>
          <w:tcPr>
            <w:tcW w:w="2268" w:type="dxa"/>
            <w:noWrap w:val="0"/>
            <w:vAlign w:val="top"/>
          </w:tcPr>
          <w:p w14:paraId="5049B913">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破坏民族团结</w:t>
            </w:r>
          </w:p>
        </w:tc>
        <w:tc>
          <w:tcPr>
            <w:tcW w:w="5953" w:type="dxa"/>
            <w:noWrap w:val="0"/>
            <w:vAlign w:val="top"/>
          </w:tcPr>
          <w:p w14:paraId="1DA1AEC9">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煽动民族仇恨、民族歧视，破坏民族团结的</w:t>
            </w:r>
          </w:p>
        </w:tc>
      </w:tr>
      <w:tr w14:paraId="2FD59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54CE0789">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5</w:t>
            </w:r>
          </w:p>
        </w:tc>
        <w:tc>
          <w:tcPr>
            <w:tcW w:w="2268" w:type="dxa"/>
            <w:noWrap w:val="0"/>
            <w:vAlign w:val="top"/>
          </w:tcPr>
          <w:p w14:paraId="5B86F10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破坏宗教政策</w:t>
            </w:r>
          </w:p>
        </w:tc>
        <w:tc>
          <w:tcPr>
            <w:tcW w:w="5953" w:type="dxa"/>
            <w:noWrap w:val="0"/>
            <w:vAlign w:val="top"/>
          </w:tcPr>
          <w:p w14:paraId="0CACE67D">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破坏国家宗教政策，宣扬邪教和封建迷信的</w:t>
            </w:r>
          </w:p>
        </w:tc>
      </w:tr>
      <w:tr w14:paraId="48DE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3CA17FC1">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6</w:t>
            </w:r>
          </w:p>
        </w:tc>
        <w:tc>
          <w:tcPr>
            <w:tcW w:w="2268" w:type="dxa"/>
            <w:noWrap w:val="0"/>
            <w:vAlign w:val="top"/>
          </w:tcPr>
          <w:p w14:paraId="5F9D7925">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扰乱社会秩序</w:t>
            </w:r>
          </w:p>
        </w:tc>
        <w:tc>
          <w:tcPr>
            <w:tcW w:w="5953" w:type="dxa"/>
            <w:noWrap w:val="0"/>
            <w:vAlign w:val="top"/>
          </w:tcPr>
          <w:p w14:paraId="77C0BA84">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散布谣言，扰乱社会秩序，破坏社会稳定的</w:t>
            </w:r>
          </w:p>
        </w:tc>
      </w:tr>
      <w:tr w14:paraId="4E2A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290BA65D">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7</w:t>
            </w:r>
          </w:p>
        </w:tc>
        <w:tc>
          <w:tcPr>
            <w:tcW w:w="2268" w:type="dxa"/>
            <w:noWrap w:val="0"/>
            <w:vAlign w:val="top"/>
          </w:tcPr>
          <w:p w14:paraId="0DCF9592">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违法犯罪内容</w:t>
            </w:r>
          </w:p>
        </w:tc>
        <w:tc>
          <w:tcPr>
            <w:tcW w:w="5953" w:type="dxa"/>
            <w:noWrap w:val="0"/>
            <w:vAlign w:val="top"/>
          </w:tcPr>
          <w:p w14:paraId="42738D57">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散布淫秽、色情、赌博、暴力、凶杀、恐怖或者教唆犯罪的</w:t>
            </w:r>
          </w:p>
        </w:tc>
      </w:tr>
      <w:tr w14:paraId="11581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68C856C5">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8</w:t>
            </w:r>
          </w:p>
        </w:tc>
        <w:tc>
          <w:tcPr>
            <w:tcW w:w="2268" w:type="dxa"/>
            <w:noWrap w:val="0"/>
            <w:vAlign w:val="top"/>
          </w:tcPr>
          <w:p w14:paraId="1255CB56">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侵权诽谤内容</w:t>
            </w:r>
          </w:p>
        </w:tc>
        <w:tc>
          <w:tcPr>
            <w:tcW w:w="5953" w:type="dxa"/>
            <w:noWrap w:val="0"/>
            <w:vAlign w:val="top"/>
          </w:tcPr>
          <w:p w14:paraId="271D891B">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侮辱或者诽谤他人，侵害他人合法权益的</w:t>
            </w:r>
          </w:p>
        </w:tc>
      </w:tr>
      <w:tr w14:paraId="4EED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top"/>
          </w:tcPr>
          <w:p w14:paraId="2A42DC6F">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9</w:t>
            </w:r>
          </w:p>
        </w:tc>
        <w:tc>
          <w:tcPr>
            <w:tcW w:w="2268" w:type="dxa"/>
            <w:noWrap w:val="0"/>
            <w:vAlign w:val="top"/>
          </w:tcPr>
          <w:p w14:paraId="78759F3A">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其他禁止内容</w:t>
            </w:r>
          </w:p>
        </w:tc>
        <w:tc>
          <w:tcPr>
            <w:tcW w:w="5953" w:type="dxa"/>
            <w:noWrap w:val="0"/>
            <w:vAlign w:val="top"/>
          </w:tcPr>
          <w:p w14:paraId="1139D67B">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含有法律、行政法规禁止的其他内容的</w:t>
            </w:r>
          </w:p>
        </w:tc>
      </w:tr>
    </w:tbl>
    <w:p w14:paraId="3B07017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b/>
          <w:bCs/>
          <w:color w:val="000000"/>
          <w:sz w:val="24"/>
        </w:rPr>
        <w:t>3</w:t>
      </w:r>
      <w:r>
        <w:rPr>
          <w:rFonts w:hint="eastAsia" w:ascii="宋体" w:hAnsi="宋体"/>
          <w:b/>
          <w:bCs/>
          <w:color w:val="000000"/>
          <w:sz w:val="24"/>
        </w:rPr>
        <w:t xml:space="preserve">.2 </w:t>
      </w:r>
      <w:r>
        <w:rPr>
          <w:rFonts w:hint="eastAsia" w:ascii="宋体" w:hAnsi="宋体"/>
          <w:b/>
          <w:bCs/>
          <w:color w:val="000000"/>
          <w:sz w:val="24"/>
          <w:lang w:val="zh-CN" w:eastAsia="zh-CN"/>
        </w:rPr>
        <w:t>禁止涉入行业/领域清单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2126"/>
        <w:gridCol w:w="6095"/>
      </w:tblGrid>
      <w:tr w14:paraId="6F78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shd w:val="clear" w:color="auto" w:fill="D9E2F3"/>
            <w:noWrap w:val="0"/>
            <w:vAlign w:val="center"/>
          </w:tcPr>
          <w:p w14:paraId="2A07DE3C">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序号</w:t>
            </w:r>
          </w:p>
        </w:tc>
        <w:tc>
          <w:tcPr>
            <w:tcW w:w="2126" w:type="dxa"/>
            <w:shd w:val="clear" w:color="auto" w:fill="D9E2F3"/>
            <w:noWrap w:val="0"/>
            <w:vAlign w:val="center"/>
          </w:tcPr>
          <w:p w14:paraId="42A18121">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禁止行业/领域</w:t>
            </w:r>
          </w:p>
        </w:tc>
        <w:tc>
          <w:tcPr>
            <w:tcW w:w="6095" w:type="dxa"/>
            <w:shd w:val="clear" w:color="auto" w:fill="D9E2F3"/>
            <w:noWrap w:val="0"/>
            <w:vAlign w:val="center"/>
          </w:tcPr>
          <w:p w14:paraId="2C9BE199">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典型示例</w:t>
            </w:r>
          </w:p>
        </w:tc>
      </w:tr>
      <w:tr w14:paraId="752D2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5E0F71E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w:t>
            </w:r>
          </w:p>
        </w:tc>
        <w:tc>
          <w:tcPr>
            <w:tcW w:w="2126" w:type="dxa"/>
            <w:noWrap w:val="0"/>
            <w:vAlign w:val="center"/>
          </w:tcPr>
          <w:p w14:paraId="22C27FB3">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诈骗行业</w:t>
            </w:r>
          </w:p>
        </w:tc>
        <w:tc>
          <w:tcPr>
            <w:tcW w:w="6095" w:type="dxa"/>
            <w:noWrap w:val="0"/>
            <w:vAlign w:val="center"/>
          </w:tcPr>
          <w:p w14:paraId="7767DB8B">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例如：虚假客服电话、钓鱼诈骗信息等</w:t>
            </w:r>
          </w:p>
        </w:tc>
      </w:tr>
      <w:tr w14:paraId="17527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5293F259">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2</w:t>
            </w:r>
          </w:p>
        </w:tc>
        <w:tc>
          <w:tcPr>
            <w:tcW w:w="2126" w:type="dxa"/>
            <w:noWrap w:val="0"/>
            <w:vAlign w:val="center"/>
          </w:tcPr>
          <w:p w14:paraId="17E3181C">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代开发票</w:t>
            </w:r>
          </w:p>
        </w:tc>
        <w:tc>
          <w:tcPr>
            <w:tcW w:w="6095" w:type="dxa"/>
            <w:noWrap w:val="0"/>
            <w:vAlign w:val="center"/>
          </w:tcPr>
          <w:p w14:paraId="3AD75AAC">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例如：代开各地区增值税发票</w:t>
            </w:r>
          </w:p>
        </w:tc>
      </w:tr>
      <w:tr w14:paraId="2EE07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66E9224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3</w:t>
            </w:r>
          </w:p>
        </w:tc>
        <w:tc>
          <w:tcPr>
            <w:tcW w:w="2126" w:type="dxa"/>
            <w:noWrap w:val="0"/>
            <w:vAlign w:val="center"/>
          </w:tcPr>
          <w:p w14:paraId="56E71562">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性别鉴定</w:t>
            </w:r>
          </w:p>
        </w:tc>
        <w:tc>
          <w:tcPr>
            <w:tcW w:w="6095" w:type="dxa"/>
            <w:noWrap w:val="0"/>
            <w:vAlign w:val="center"/>
          </w:tcPr>
          <w:p w14:paraId="78C560AA">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例如：怎样去香港验血鉴定性别</w:t>
            </w:r>
          </w:p>
        </w:tc>
      </w:tr>
      <w:tr w14:paraId="6690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7C844F0C">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4</w:t>
            </w:r>
          </w:p>
        </w:tc>
        <w:tc>
          <w:tcPr>
            <w:tcW w:w="2126" w:type="dxa"/>
            <w:noWrap w:val="0"/>
            <w:vAlign w:val="center"/>
          </w:tcPr>
          <w:p w14:paraId="69DF2D49">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博彩行业</w:t>
            </w:r>
          </w:p>
        </w:tc>
        <w:tc>
          <w:tcPr>
            <w:tcW w:w="6095" w:type="dxa"/>
            <w:noWrap w:val="0"/>
            <w:vAlign w:val="center"/>
          </w:tcPr>
          <w:p w14:paraId="630C4389">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例如：百家乐、申博、娱乐城、在线赌博一类</w:t>
            </w:r>
          </w:p>
        </w:tc>
      </w:tr>
      <w:tr w14:paraId="60EF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37C2FD2D">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5</w:t>
            </w:r>
          </w:p>
        </w:tc>
        <w:tc>
          <w:tcPr>
            <w:tcW w:w="2126" w:type="dxa"/>
            <w:noWrap w:val="0"/>
            <w:vAlign w:val="center"/>
          </w:tcPr>
          <w:p w14:paraId="21FB83C8">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信用卡套现类</w:t>
            </w:r>
          </w:p>
        </w:tc>
        <w:tc>
          <w:tcPr>
            <w:tcW w:w="6095" w:type="dxa"/>
            <w:noWrap w:val="0"/>
            <w:vAlign w:val="center"/>
          </w:tcPr>
          <w:p w14:paraId="4876E60F">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例如：信用卡套现养卡、花呗套现、银行卡类违规</w:t>
            </w:r>
          </w:p>
        </w:tc>
      </w:tr>
      <w:tr w14:paraId="63011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70CE57AF">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6</w:t>
            </w:r>
          </w:p>
        </w:tc>
        <w:tc>
          <w:tcPr>
            <w:tcW w:w="2126" w:type="dxa"/>
            <w:noWrap w:val="0"/>
            <w:vAlign w:val="center"/>
          </w:tcPr>
          <w:p w14:paraId="113F5B31">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色情招嫖类</w:t>
            </w:r>
          </w:p>
        </w:tc>
        <w:tc>
          <w:tcPr>
            <w:tcW w:w="6095" w:type="dxa"/>
            <w:noWrap w:val="0"/>
            <w:vAlign w:val="center"/>
          </w:tcPr>
          <w:p w14:paraId="0C973047">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例如：上门按摩服务、酒店公关、招嫖信息</w:t>
            </w:r>
          </w:p>
        </w:tc>
      </w:tr>
      <w:tr w14:paraId="7977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7213C523">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7</w:t>
            </w:r>
          </w:p>
        </w:tc>
        <w:tc>
          <w:tcPr>
            <w:tcW w:w="2126" w:type="dxa"/>
            <w:noWrap w:val="0"/>
            <w:vAlign w:val="center"/>
          </w:tcPr>
          <w:p w14:paraId="28B81177">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负面诋毁信息</w:t>
            </w:r>
          </w:p>
        </w:tc>
        <w:tc>
          <w:tcPr>
            <w:tcW w:w="6095" w:type="dxa"/>
            <w:noWrap w:val="0"/>
            <w:vAlign w:val="center"/>
          </w:tcPr>
          <w:p w14:paraId="0EB0E768">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例如：不实诋毁企业或个人的负面信息</w:t>
            </w:r>
          </w:p>
        </w:tc>
      </w:tr>
      <w:tr w14:paraId="7978B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3140CE2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8</w:t>
            </w:r>
          </w:p>
        </w:tc>
        <w:tc>
          <w:tcPr>
            <w:tcW w:w="2126" w:type="dxa"/>
            <w:noWrap w:val="0"/>
            <w:vAlign w:val="center"/>
          </w:tcPr>
          <w:p w14:paraId="6A6FEDC1">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政治敏感信息</w:t>
            </w:r>
          </w:p>
        </w:tc>
        <w:tc>
          <w:tcPr>
            <w:tcW w:w="6095" w:type="dxa"/>
            <w:noWrap w:val="0"/>
            <w:vAlign w:val="center"/>
          </w:tcPr>
          <w:p w14:paraId="010D9D77">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例如：涉及国家领导人的不当评论等</w:t>
            </w:r>
          </w:p>
        </w:tc>
      </w:tr>
      <w:tr w14:paraId="39139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695F1EB3">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9</w:t>
            </w:r>
          </w:p>
        </w:tc>
        <w:tc>
          <w:tcPr>
            <w:tcW w:w="2126" w:type="dxa"/>
            <w:noWrap w:val="0"/>
            <w:vAlign w:val="center"/>
          </w:tcPr>
          <w:p w14:paraId="1F01A68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出售证件卡片</w:t>
            </w:r>
          </w:p>
        </w:tc>
        <w:tc>
          <w:tcPr>
            <w:tcW w:w="6095" w:type="dxa"/>
            <w:noWrap w:val="0"/>
            <w:vAlign w:val="center"/>
          </w:tcPr>
          <w:p w14:paraId="6DEDB1C2">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出售银行卡、身份证、复制卡等</w:t>
            </w:r>
          </w:p>
        </w:tc>
      </w:tr>
      <w:tr w14:paraId="10D9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2F536FA3">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10</w:t>
            </w:r>
          </w:p>
        </w:tc>
        <w:tc>
          <w:tcPr>
            <w:tcW w:w="2126" w:type="dxa"/>
            <w:noWrap w:val="0"/>
            <w:vAlign w:val="center"/>
          </w:tcPr>
          <w:p w14:paraId="57E9330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代刷信誉及诈骗兼职</w:t>
            </w:r>
          </w:p>
        </w:tc>
        <w:tc>
          <w:tcPr>
            <w:tcW w:w="6095" w:type="dxa"/>
            <w:noWrap w:val="0"/>
            <w:vAlign w:val="center"/>
          </w:tcPr>
          <w:p w14:paraId="633F4370">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代刷信誉及诈骗类兼职信息</w:t>
            </w:r>
          </w:p>
        </w:tc>
      </w:tr>
      <w:tr w14:paraId="1982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5738085C">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11</w:t>
            </w:r>
          </w:p>
        </w:tc>
        <w:tc>
          <w:tcPr>
            <w:tcW w:w="2126" w:type="dxa"/>
            <w:noWrap w:val="0"/>
            <w:vAlign w:val="center"/>
          </w:tcPr>
          <w:p w14:paraId="06455F08">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走私商品类</w:t>
            </w:r>
          </w:p>
        </w:tc>
        <w:tc>
          <w:tcPr>
            <w:tcW w:w="6095" w:type="dxa"/>
            <w:noWrap w:val="0"/>
            <w:vAlign w:val="center"/>
          </w:tcPr>
          <w:p w14:paraId="6A3C06B6">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走私香烟、免税香烟、微信出售香烟、走私药品等</w:t>
            </w:r>
          </w:p>
        </w:tc>
      </w:tr>
      <w:tr w14:paraId="7831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3F726B8A">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12</w:t>
            </w:r>
          </w:p>
        </w:tc>
        <w:tc>
          <w:tcPr>
            <w:tcW w:w="2126" w:type="dxa"/>
            <w:noWrap w:val="0"/>
            <w:vAlign w:val="center"/>
          </w:tcPr>
          <w:p w14:paraId="67837EEB">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虚假彩票类</w:t>
            </w:r>
          </w:p>
        </w:tc>
        <w:tc>
          <w:tcPr>
            <w:tcW w:w="6095" w:type="dxa"/>
            <w:noWrap w:val="0"/>
            <w:vAlign w:val="center"/>
          </w:tcPr>
          <w:p w14:paraId="166194D4">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虚假彩票信息、时时彩、北京赛车PK10等</w:t>
            </w:r>
          </w:p>
        </w:tc>
      </w:tr>
      <w:tr w14:paraId="2C91C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5EC82140">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13</w:t>
            </w:r>
          </w:p>
        </w:tc>
        <w:tc>
          <w:tcPr>
            <w:tcW w:w="2126" w:type="dxa"/>
            <w:noWrap w:val="0"/>
            <w:vAlign w:val="center"/>
          </w:tcPr>
          <w:p w14:paraId="5A6BDD74">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非法金融理财</w:t>
            </w:r>
          </w:p>
        </w:tc>
        <w:tc>
          <w:tcPr>
            <w:tcW w:w="6095" w:type="dxa"/>
            <w:noWrap w:val="0"/>
            <w:vAlign w:val="center"/>
          </w:tcPr>
          <w:p w14:paraId="11DA56EF">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带有传销性质、高收益或诈骗性质的虚拟货币理财及P2P理财</w:t>
            </w:r>
          </w:p>
        </w:tc>
      </w:tr>
      <w:tr w14:paraId="1E2E0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1F55F68B">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14</w:t>
            </w:r>
          </w:p>
        </w:tc>
        <w:tc>
          <w:tcPr>
            <w:tcW w:w="2126" w:type="dxa"/>
            <w:noWrap w:val="0"/>
            <w:vAlign w:val="center"/>
          </w:tcPr>
          <w:p w14:paraId="3BAC5380">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医疗药品健康类</w:t>
            </w:r>
          </w:p>
        </w:tc>
        <w:tc>
          <w:tcPr>
            <w:tcW w:w="6095" w:type="dxa"/>
            <w:noWrap w:val="0"/>
            <w:vAlign w:val="center"/>
          </w:tcPr>
          <w:p w14:paraId="57C2EC07">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例如：疗效保证、祖传秘方、处方药在线售卖、未经审批的医疗广告、医美整形效果保证等</w:t>
            </w:r>
          </w:p>
        </w:tc>
      </w:tr>
      <w:tr w14:paraId="631BB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37ABDE0A">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15</w:t>
            </w:r>
          </w:p>
        </w:tc>
        <w:tc>
          <w:tcPr>
            <w:tcW w:w="2126" w:type="dxa"/>
            <w:noWrap w:val="0"/>
            <w:vAlign w:val="center"/>
          </w:tcPr>
          <w:p w14:paraId="30AAE9B7">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排行榜及排名类</w:t>
            </w:r>
          </w:p>
        </w:tc>
        <w:tc>
          <w:tcPr>
            <w:tcW w:w="6095" w:type="dxa"/>
            <w:noWrap w:val="0"/>
            <w:vAlign w:val="center"/>
          </w:tcPr>
          <w:p w14:paraId="1C162B50">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例如：全球排名第一、十大品牌排行榜、未经授权的机构排名/评比/颁奖等</w:t>
            </w:r>
          </w:p>
        </w:tc>
      </w:tr>
      <w:tr w14:paraId="11115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65404949">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16</w:t>
            </w:r>
          </w:p>
        </w:tc>
        <w:tc>
          <w:tcPr>
            <w:tcW w:w="2126" w:type="dxa"/>
            <w:noWrap w:val="0"/>
            <w:vAlign w:val="center"/>
          </w:tcPr>
          <w:p w14:paraId="75952492">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代办证件资质类</w:t>
            </w:r>
          </w:p>
        </w:tc>
        <w:tc>
          <w:tcPr>
            <w:tcW w:w="6095" w:type="dxa"/>
            <w:noWrap w:val="0"/>
            <w:vAlign w:val="center"/>
          </w:tcPr>
          <w:p w14:paraId="31F14F7A">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例如：代办房产证、学历学位证、营业执照、代考驾照等</w:t>
            </w:r>
          </w:p>
        </w:tc>
      </w:tr>
      <w:tr w14:paraId="7C345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5A56CF58">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17</w:t>
            </w:r>
          </w:p>
        </w:tc>
        <w:tc>
          <w:tcPr>
            <w:tcW w:w="2126" w:type="dxa"/>
            <w:noWrap w:val="0"/>
            <w:vAlign w:val="center"/>
          </w:tcPr>
          <w:p w14:paraId="767A8DFA">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金融借贷及非法集资</w:t>
            </w:r>
          </w:p>
        </w:tc>
        <w:tc>
          <w:tcPr>
            <w:tcW w:w="6095" w:type="dxa"/>
            <w:noWrap w:val="0"/>
            <w:vAlign w:val="center"/>
          </w:tcPr>
          <w:p w14:paraId="67829722">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例如：无抵押秒放款、高利贷、网络水钱、期货配资、场外期权等</w:t>
            </w:r>
          </w:p>
        </w:tc>
      </w:tr>
      <w:tr w14:paraId="76CB0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310ED32B">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18</w:t>
            </w:r>
          </w:p>
        </w:tc>
        <w:tc>
          <w:tcPr>
            <w:tcW w:w="2126" w:type="dxa"/>
            <w:noWrap w:val="0"/>
            <w:vAlign w:val="center"/>
          </w:tcPr>
          <w:p w14:paraId="5D2BEAF5">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黑客及网络攻击服务</w:t>
            </w:r>
          </w:p>
        </w:tc>
        <w:tc>
          <w:tcPr>
            <w:tcW w:w="6095" w:type="dxa"/>
            <w:noWrap w:val="0"/>
            <w:vAlign w:val="center"/>
          </w:tcPr>
          <w:p w14:paraId="12530D2E">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例如：代查开房记录、定位追踪手机、入侵他人账号、DDoS攻击服务等</w:t>
            </w:r>
          </w:p>
        </w:tc>
      </w:tr>
      <w:tr w14:paraId="5266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 w:type="dxa"/>
            <w:noWrap w:val="0"/>
            <w:vAlign w:val="center"/>
          </w:tcPr>
          <w:p w14:paraId="62A8F4E7">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19</w:t>
            </w:r>
          </w:p>
        </w:tc>
        <w:tc>
          <w:tcPr>
            <w:tcW w:w="2126" w:type="dxa"/>
            <w:noWrap w:val="0"/>
            <w:vAlign w:val="center"/>
          </w:tcPr>
          <w:p w14:paraId="64724393">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val="0"/>
                <w:sz w:val="20"/>
                <w:lang w:val="zh-CN" w:eastAsia="zh-CN"/>
              </w:rPr>
              <w:t>其他违规内容</w:t>
            </w:r>
          </w:p>
        </w:tc>
        <w:tc>
          <w:tcPr>
            <w:tcW w:w="6095" w:type="dxa"/>
            <w:noWrap w:val="0"/>
            <w:vAlign w:val="center"/>
          </w:tcPr>
          <w:p w14:paraId="5977B064">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其他违反《广告法》《网络安全法》等法律法规的内容，或乙方及监管层认定不适宜发布的其他内容</w:t>
            </w:r>
          </w:p>
        </w:tc>
      </w:tr>
    </w:tbl>
    <w:p w14:paraId="347D038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Times New Roman"/>
          <w:b/>
          <w:bCs/>
          <w:color w:val="000000"/>
          <w:sz w:val="24"/>
        </w:rPr>
      </w:pPr>
      <w:r>
        <w:rPr>
          <w:rFonts w:hint="eastAsia" w:ascii="宋体" w:hAnsi="宋体" w:eastAsia="宋体" w:cs="Times New Roman"/>
          <w:b/>
          <w:bCs/>
          <w:color w:val="000000"/>
          <w:sz w:val="24"/>
        </w:rPr>
        <w:t>3</w:t>
      </w:r>
      <w:r>
        <w:rPr>
          <w:rFonts w:ascii="宋体" w:hAnsi="宋体" w:eastAsia="宋体" w:cs="Times New Roman"/>
          <w:b/>
          <w:bCs/>
          <w:color w:val="000000"/>
          <w:sz w:val="24"/>
        </w:rPr>
        <w:t>.3违约情形分级认定</w:t>
      </w:r>
    </w:p>
    <w:p w14:paraId="0A4DB823">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为规范追责标准，结合</w:t>
      </w:r>
      <w:r>
        <w:rPr>
          <w:rFonts w:ascii="宋体" w:hAnsi="宋体"/>
          <w:b/>
          <w:bCs/>
          <w:color w:val="000000"/>
          <w:sz w:val="24"/>
        </w:rPr>
        <w:t>违规内容性质、危害程度、影响范围、整改情况</w:t>
      </w:r>
      <w:r>
        <w:rPr>
          <w:rFonts w:ascii="宋体" w:hAnsi="宋体"/>
          <w:color w:val="000000"/>
          <w:sz w:val="24"/>
        </w:rPr>
        <w:t>，将甲方违规违约行为分为</w:t>
      </w:r>
      <w:r>
        <w:rPr>
          <w:rFonts w:ascii="宋体" w:hAnsi="宋体"/>
          <w:b/>
          <w:bCs/>
          <w:color w:val="000000"/>
          <w:sz w:val="24"/>
        </w:rPr>
        <w:t>一般违约、较重违约、严重违约、重大恶性违约</w:t>
      </w:r>
      <w:r>
        <w:rPr>
          <w:rFonts w:ascii="宋体" w:hAnsi="宋体"/>
          <w:color w:val="000000"/>
          <w:sz w:val="24"/>
        </w:rPr>
        <w:t>四个等级，具体认定标准如下：</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2306"/>
        <w:gridCol w:w="5347"/>
      </w:tblGrid>
      <w:tr w14:paraId="54D86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shd w:val="clear" w:color="auto" w:fill="D9E2F3"/>
            <w:noWrap w:val="0"/>
            <w:vAlign w:val="center"/>
          </w:tcPr>
          <w:p w14:paraId="1C85FBDF">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违约等级</w:t>
            </w:r>
          </w:p>
        </w:tc>
        <w:tc>
          <w:tcPr>
            <w:tcW w:w="2306" w:type="dxa"/>
            <w:shd w:val="clear" w:color="auto" w:fill="D9E2F3"/>
            <w:noWrap w:val="0"/>
            <w:vAlign w:val="center"/>
          </w:tcPr>
          <w:p w14:paraId="1B3B9D91">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认定标准</w:t>
            </w:r>
          </w:p>
        </w:tc>
        <w:tc>
          <w:tcPr>
            <w:tcW w:w="5347" w:type="dxa"/>
            <w:shd w:val="clear" w:color="auto" w:fill="D9E2F3"/>
            <w:noWrap w:val="0"/>
            <w:vAlign w:val="center"/>
          </w:tcPr>
          <w:p w14:paraId="2C3219B6">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典型情形</w:t>
            </w:r>
          </w:p>
        </w:tc>
      </w:tr>
      <w:tr w14:paraId="0BBE8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46743976">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一般违约</w:t>
            </w:r>
          </w:p>
        </w:tc>
        <w:tc>
          <w:tcPr>
            <w:tcW w:w="2306" w:type="dxa"/>
            <w:noWrap w:val="0"/>
            <w:vAlign w:val="center"/>
          </w:tcPr>
          <w:p w14:paraId="5FA28435">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内容存在轻微瑕疵，无主观违规故意，未造成不良传播、未引发投诉及监管关注、未损害双方及第三方权益</w:t>
            </w:r>
          </w:p>
        </w:tc>
        <w:tc>
          <w:tcPr>
            <w:tcW w:w="5347" w:type="dxa"/>
            <w:noWrap w:val="0"/>
            <w:vAlign w:val="center"/>
          </w:tcPr>
          <w:p w14:paraId="196491E2">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1.无意触碰轻微禁忌内容、表述不规范，不涉及违法行业、敏感政治、色情暴力、金融诈骗等高危内容的；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2.首次出现违规行为，及时自查发现并主动删除、整改，未产生对外传播影响的；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3.发布未经授权的普通排名、小众评比内容，无虚假宣传、无误导消费者情形的。</w:t>
            </w:r>
          </w:p>
        </w:tc>
      </w:tr>
      <w:tr w14:paraId="5235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34764EC3">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较重违约</w:t>
            </w:r>
          </w:p>
        </w:tc>
        <w:tc>
          <w:tcPr>
            <w:tcW w:w="2306" w:type="dxa"/>
            <w:noWrap w:val="0"/>
            <w:vAlign w:val="center"/>
          </w:tcPr>
          <w:p w14:paraId="0F3B5316">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明知不合规仍发布或疏忽发布普通违规行业内容，造成一定传播影响或投诉，但未被监管介入</w:t>
            </w:r>
          </w:p>
        </w:tc>
        <w:tc>
          <w:tcPr>
            <w:tcW w:w="5347" w:type="dxa"/>
            <w:noWrap w:val="0"/>
            <w:vAlign w:val="center"/>
          </w:tcPr>
          <w:p w14:paraId="3128F072">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1.明知内容不合规仍发布，或疏忽大意发布禁止行业中的普通违规内容（不含高危违法领域）；</w:t>
            </w:r>
            <w:r>
              <w:rPr>
                <w:rFonts w:ascii="宋体" w:hAnsi="宋体" w:eastAsia="宋体" w:cs="宋体"/>
                <w:b w:val="0"/>
                <w:sz w:val="20"/>
                <w:lang w:val="zh-CN" w:eastAsia="zh-CN"/>
              </w:rPr>
              <w:br w:type="textWrapping"/>
            </w:r>
            <w:r>
              <w:rPr>
                <w:rFonts w:ascii="宋体" w:hAnsi="宋体" w:eastAsia="宋体" w:cs="宋体"/>
                <w:b w:val="0"/>
                <w:sz w:val="20"/>
                <w:lang w:val="zh-CN" w:eastAsia="zh-CN"/>
              </w:rPr>
              <w:t>2.发布轻微虚假宣传、模糊夸大表述，违反《广告法》一般性规定，未造成重大误导及经济损失的；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3.违规内容对外传播，引发普通用户投诉、舆情反馈，未被监管部门介入、未收到律师函及诉状的；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4.首次违规经乙方提醒后，未及时整改、拖延删除违规内容的；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5.发布非敏感类谣言、轻微诋毁普通企业/个人内容，未造成恶劣社会影响及名誉重大损失的。</w:t>
            </w:r>
          </w:p>
        </w:tc>
      </w:tr>
      <w:tr w14:paraId="7F63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61F03384">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严重违约</w:t>
            </w:r>
          </w:p>
        </w:tc>
        <w:tc>
          <w:tcPr>
            <w:tcW w:w="2306" w:type="dxa"/>
            <w:noWrap w:val="0"/>
            <w:vAlign w:val="center"/>
          </w:tcPr>
          <w:p w14:paraId="34317BAE">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发布禁止内容或高危违规行业内容，传播范围较广，引发批量投诉、监管问询或律师函</w:t>
            </w:r>
          </w:p>
        </w:tc>
        <w:tc>
          <w:tcPr>
            <w:tcW w:w="5347" w:type="dxa"/>
            <w:noWrap w:val="0"/>
            <w:vAlign w:val="center"/>
          </w:tcPr>
          <w:p w14:paraId="48903CFC">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1.发布禁止内容清单中涉及破坏社会秩序、宣扬封建迷信、轻微民族歧视、普通侵权诽谤等内容的；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2.发布医疗、药品、医美、普通金融理财类违规内容，存在虚假承诺、违规引流，误导公众的；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3.发布涉套现、代办证件、代刷信誉、走私商品等违规行业内容的；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4.违规内容传播范围较广，引发批量用户投诉、网络负面舆情，对乙方平台声誉造成不良影响的；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5.被行业监管机构、平台监管部门下发整改通知、问询提醒的；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6.首次收到第三方律师函、投诉举报，且违规事实查证属实的；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7.一般违约、较重违约累计发生3次及以上的。</w:t>
            </w:r>
          </w:p>
        </w:tc>
      </w:tr>
      <w:tr w14:paraId="012E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7FEA4947">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重大恶性违约</w:t>
            </w:r>
          </w:p>
        </w:tc>
        <w:tc>
          <w:tcPr>
            <w:tcW w:w="2306" w:type="dxa"/>
            <w:noWrap w:val="0"/>
            <w:vAlign w:val="center"/>
          </w:tcPr>
          <w:p w14:paraId="4B238EEA">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涉及国家安全、色情赌博、非法集资等高危违法内容，或被监管立案查处、引发重大舆情</w:t>
            </w:r>
          </w:p>
        </w:tc>
        <w:tc>
          <w:tcPr>
            <w:tcW w:w="5347" w:type="dxa"/>
            <w:noWrap w:val="0"/>
            <w:vAlign w:val="center"/>
          </w:tcPr>
          <w:p w14:paraId="489A96AD">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1.发布反对宪法基本原则、危害国家安全、泄露国家秘密、破坏国家统一和民族团结、损害国家荣誉利益的内容；</w:t>
            </w:r>
            <w:r>
              <w:rPr>
                <w:rFonts w:ascii="宋体" w:hAnsi="宋体" w:eastAsia="宋体" w:cs="宋体"/>
                <w:b w:val="0"/>
                <w:sz w:val="20"/>
                <w:lang w:val="zh-CN" w:eastAsia="zh-CN"/>
              </w:rPr>
              <w:br w:type="textWrapping"/>
            </w:r>
            <w:r>
              <w:rPr>
                <w:rFonts w:ascii="宋体" w:hAnsi="宋体" w:eastAsia="宋体" w:cs="宋体"/>
                <w:b w:val="0"/>
                <w:sz w:val="20"/>
                <w:lang w:val="zh-CN" w:eastAsia="zh-CN"/>
              </w:rPr>
              <w:t>2.发布色情、赌博、暴力凶杀、恐怖、教唆犯罪、黑客攻击、个人信息窃取等违法违规内容；</w:t>
            </w:r>
            <w:r>
              <w:rPr>
                <w:rFonts w:ascii="宋体" w:hAnsi="宋体" w:eastAsia="宋体" w:cs="宋体"/>
                <w:b w:val="0"/>
                <w:sz w:val="20"/>
                <w:lang w:val="zh-CN" w:eastAsia="zh-CN"/>
              </w:rPr>
              <w:br w:type="textWrapping"/>
            </w:r>
            <w:r>
              <w:rPr>
                <w:rFonts w:ascii="宋体" w:hAnsi="宋体" w:eastAsia="宋体" w:cs="宋体"/>
                <w:b w:val="0"/>
                <w:sz w:val="20"/>
                <w:lang w:val="zh-CN" w:eastAsia="zh-CN"/>
              </w:rPr>
              <w:t>3.发布博彩、非法集资、虚拟货币诈骗、非法借贷、性别鉴定、出售证件信息等高危违法行业内容；</w:t>
            </w:r>
            <w:r>
              <w:rPr>
                <w:rFonts w:ascii="宋体" w:hAnsi="宋体" w:eastAsia="宋体" w:cs="宋体"/>
                <w:b w:val="0"/>
                <w:sz w:val="20"/>
                <w:lang w:val="zh-CN" w:eastAsia="zh-CN"/>
              </w:rPr>
              <w:br w:type="textWrapping"/>
            </w:r>
            <w:r>
              <w:rPr>
                <w:rFonts w:ascii="宋体" w:hAnsi="宋体" w:eastAsia="宋体" w:cs="宋体"/>
                <w:b w:val="0"/>
                <w:sz w:val="20"/>
                <w:lang w:val="zh-CN" w:eastAsia="zh-CN"/>
              </w:rPr>
              <w:t>4.涉及政治敏感、领导人相关不当内容，引发重大舆情、社会不良影响的；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5.违规行为被市场监管、网信、公安等监管部门立案查处、行政处罚、通报公示的；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6.收到法院诉状、仲裁通知书，且甲方违规事实成立，给乙方造成经济损失、品牌重创、资质风险的；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7.刻意规避平台审核，篡改内容、变相发布高危违规信息，主观恶意明显的；</w:t>
            </w:r>
            <w:r>
              <w:rPr>
                <w:rFonts w:ascii="宋体" w:hAnsi="宋体" w:eastAsia="宋体" w:cs="宋体"/>
                <w:b w:val="0"/>
                <w:sz w:val="20"/>
                <w:lang w:val="zh-CN" w:eastAsia="zh-CN"/>
              </w:rPr>
              <w:br w:type="textWrapping"/>
            </w:r>
            <w:r>
              <w:rPr>
                <w:rFonts w:ascii="宋体" w:hAnsi="宋体" w:eastAsia="宋体" w:cs="宋体"/>
                <w:b w:val="0"/>
                <w:sz w:val="20"/>
                <w:lang w:val="zh-CN" w:eastAsia="zh-CN"/>
              </w:rPr>
              <w:t>8.违规整改后再次复发，重复发布同类高危违规内容的。</w:t>
            </w:r>
          </w:p>
        </w:tc>
      </w:tr>
    </w:tbl>
    <w:p w14:paraId="5648F01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Times New Roman"/>
          <w:b/>
          <w:bCs/>
          <w:color w:val="000000"/>
          <w:sz w:val="24"/>
        </w:rPr>
      </w:pPr>
      <w:r>
        <w:rPr>
          <w:rFonts w:ascii="宋体" w:hAnsi="宋体" w:eastAsia="宋体" w:cs="Times New Roman"/>
          <w:b/>
          <w:bCs/>
          <w:color w:val="000000"/>
          <w:sz w:val="24"/>
        </w:rPr>
        <w:t>3.4 阶梯式违规处罚机制</w:t>
      </w:r>
    </w:p>
    <w:p w14:paraId="72A716B7">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乙方依据甲方</w:t>
      </w:r>
      <w:r>
        <w:rPr>
          <w:rFonts w:ascii="宋体" w:hAnsi="宋体"/>
          <w:b/>
          <w:bCs/>
          <w:color w:val="000000"/>
          <w:sz w:val="24"/>
        </w:rPr>
        <w:t>违规等级、违规次数、危害后果</w:t>
      </w:r>
      <w:r>
        <w:rPr>
          <w:rFonts w:ascii="宋体" w:hAnsi="宋体"/>
          <w:color w:val="000000"/>
          <w:sz w:val="24"/>
        </w:rPr>
        <w:t>，采取阶梯式处罚措施，可单项或合并执行，所有处罚不免除甲方的合规整改、侵权赔偿、法律追责责任：</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3552"/>
        <w:gridCol w:w="1550"/>
        <w:gridCol w:w="2551"/>
      </w:tblGrid>
      <w:tr w14:paraId="6B77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shd w:val="clear" w:color="auto" w:fill="D9E2F3"/>
            <w:noWrap w:val="0"/>
            <w:vAlign w:val="center"/>
          </w:tcPr>
          <w:p w14:paraId="0B9A9926">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违约等级</w:t>
            </w:r>
          </w:p>
        </w:tc>
        <w:tc>
          <w:tcPr>
            <w:tcW w:w="3552" w:type="dxa"/>
            <w:shd w:val="clear" w:color="auto" w:fill="D9E2F3"/>
            <w:noWrap w:val="0"/>
            <w:vAlign w:val="center"/>
          </w:tcPr>
          <w:p w14:paraId="00127072">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处罚措施</w:t>
            </w:r>
          </w:p>
        </w:tc>
        <w:tc>
          <w:tcPr>
            <w:tcW w:w="1550" w:type="dxa"/>
            <w:shd w:val="clear" w:color="auto" w:fill="D9E2F3"/>
            <w:noWrap w:val="0"/>
            <w:vAlign w:val="center"/>
          </w:tcPr>
          <w:p w14:paraId="6709937B">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保证金扣除比例</w:t>
            </w:r>
          </w:p>
        </w:tc>
        <w:tc>
          <w:tcPr>
            <w:tcW w:w="2551" w:type="dxa"/>
            <w:shd w:val="clear" w:color="auto" w:fill="D9E2F3"/>
            <w:noWrap w:val="0"/>
            <w:vAlign w:val="center"/>
          </w:tcPr>
          <w:p w14:paraId="3D8615CA">
            <w:pPr>
              <w:pageBreakBefore w:val="0"/>
              <w:kinsoku/>
              <w:wordWrap/>
              <w:overflowPunct/>
              <w:topLinePunct w:val="0"/>
              <w:autoSpaceDE/>
              <w:autoSpaceDN/>
              <w:bidi w:val="0"/>
              <w:adjustRightInd/>
              <w:spacing w:line="360" w:lineRule="auto"/>
              <w:jc w:val="center"/>
              <w:textAlignment w:val="auto"/>
            </w:pPr>
            <w:r>
              <w:rPr>
                <w:rFonts w:ascii="宋体" w:hAnsi="宋体" w:eastAsia="宋体" w:cs="宋体"/>
                <w:b/>
                <w:sz w:val="20"/>
                <w:lang w:val="zh-CN" w:eastAsia="zh-CN"/>
              </w:rPr>
              <w:t>附加后果</w:t>
            </w:r>
          </w:p>
        </w:tc>
      </w:tr>
      <w:tr w14:paraId="6584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56DFD380">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一般违约</w:t>
            </w:r>
          </w:p>
        </w:tc>
        <w:tc>
          <w:tcPr>
            <w:tcW w:w="3552" w:type="dxa"/>
            <w:noWrap w:val="0"/>
            <w:vAlign w:val="center"/>
          </w:tcPr>
          <w:p w14:paraId="01F6CE21">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1.乙方立即删除全部违规内容，向甲方发送整改通知，要求限时自查自纠；</w:t>
            </w:r>
            <w:r>
              <w:rPr>
                <w:rFonts w:ascii="宋体" w:hAnsi="宋体" w:eastAsia="宋体" w:cs="宋体"/>
                <w:b w:val="0"/>
                <w:sz w:val="20"/>
                <w:lang w:val="zh-CN" w:eastAsia="zh-CN"/>
              </w:rPr>
              <w:br w:type="textWrapping"/>
            </w:r>
            <w:r>
              <w:rPr>
                <w:rFonts w:ascii="宋体" w:hAnsi="宋体" w:eastAsia="宋体" w:cs="宋体"/>
                <w:b w:val="0"/>
                <w:sz w:val="20"/>
                <w:lang w:val="zh-CN" w:eastAsia="zh-CN"/>
              </w:rPr>
              <w:t>2.对甲方进行合规警示约谈、备案记录，计入年度合作信用档案。</w:t>
            </w:r>
          </w:p>
        </w:tc>
        <w:tc>
          <w:tcPr>
            <w:tcW w:w="1550" w:type="dxa"/>
            <w:noWrap w:val="0"/>
            <w:vAlign w:val="center"/>
          </w:tcPr>
          <w:p w14:paraId="676D2F84">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首次不予扣除；累计2次升级为较重违约处罚</w:t>
            </w:r>
          </w:p>
        </w:tc>
        <w:tc>
          <w:tcPr>
            <w:tcW w:w="2551" w:type="dxa"/>
            <w:noWrap w:val="0"/>
            <w:vAlign w:val="center"/>
          </w:tcPr>
          <w:p w14:paraId="42495EF8">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不暂停发布权限</w:t>
            </w:r>
          </w:p>
        </w:tc>
      </w:tr>
      <w:tr w14:paraId="2506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0C8583AF">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较重违约</w:t>
            </w:r>
          </w:p>
        </w:tc>
        <w:tc>
          <w:tcPr>
            <w:tcW w:w="3552" w:type="dxa"/>
            <w:noWrap w:val="0"/>
            <w:vAlign w:val="center"/>
          </w:tcPr>
          <w:p w14:paraId="6BCD1355">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1.强制删除所有违规内容，甲方需在24小时内完成全面自查整改，提交合规整改承诺书；</w:t>
            </w:r>
            <w:r>
              <w:rPr>
                <w:rFonts w:ascii="宋体" w:hAnsi="宋体" w:eastAsia="宋体" w:cs="宋体"/>
                <w:b w:val="0"/>
                <w:sz w:val="20"/>
                <w:lang w:val="zh-CN" w:eastAsia="zh-CN"/>
              </w:rPr>
              <w:br w:type="textWrapping"/>
            </w:r>
            <w:r>
              <w:rPr>
                <w:rFonts w:ascii="宋体" w:hAnsi="宋体" w:eastAsia="宋体" w:cs="宋体"/>
                <w:b w:val="0"/>
                <w:sz w:val="20"/>
                <w:lang w:val="zh-CN" w:eastAsia="zh-CN"/>
              </w:rPr>
              <w:t>2.临时限制甲方内容发布权限3-7个工作日，暂停内容审核上架服务。</w:t>
            </w:r>
          </w:p>
        </w:tc>
        <w:tc>
          <w:tcPr>
            <w:tcW w:w="1550" w:type="dxa"/>
            <w:noWrap w:val="0"/>
            <w:vAlign w:val="center"/>
          </w:tcPr>
          <w:p w14:paraId="6B186999">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扣除保证金的20%-40%作为违约金</w:t>
            </w:r>
          </w:p>
        </w:tc>
        <w:tc>
          <w:tcPr>
            <w:tcW w:w="2551" w:type="dxa"/>
            <w:noWrap w:val="0"/>
            <w:vAlign w:val="center"/>
          </w:tcPr>
          <w:p w14:paraId="3448F25D">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甲方承担基础舆情处理、客服投诉处置成本</w:t>
            </w:r>
          </w:p>
        </w:tc>
      </w:tr>
      <w:tr w14:paraId="1AA8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5EF99EAC">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严重违约</w:t>
            </w:r>
          </w:p>
        </w:tc>
        <w:tc>
          <w:tcPr>
            <w:tcW w:w="3552" w:type="dxa"/>
            <w:noWrap w:val="0"/>
            <w:vAlign w:val="center"/>
          </w:tcPr>
          <w:p w14:paraId="3AED04BB">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1.强制清空全部违规内容，永久留存违规记录，纳入失信档案；</w:t>
            </w:r>
            <w:r>
              <w:rPr>
                <w:rFonts w:ascii="宋体" w:hAnsi="宋体" w:eastAsia="宋体" w:cs="宋体"/>
                <w:b w:val="0"/>
                <w:sz w:val="20"/>
                <w:lang w:val="zh-CN" w:eastAsia="zh-CN"/>
              </w:rPr>
              <w:br w:type="textWrapping"/>
            </w:r>
            <w:r>
              <w:rPr>
                <w:rFonts w:ascii="宋体" w:hAnsi="宋体" w:eastAsia="宋体" w:cs="宋体"/>
                <w:b w:val="0"/>
                <w:sz w:val="20"/>
                <w:lang w:val="zh-CN" w:eastAsia="zh-CN"/>
              </w:rPr>
              <w:t>2.暂停甲方全部内容发布权限15-30个工作日，期间不予恢复任何上架资格；</w:t>
            </w:r>
            <w:r>
              <w:rPr>
                <w:rFonts w:ascii="宋体" w:hAnsi="宋体" w:eastAsia="宋体" w:cs="宋体"/>
                <w:b w:val="0"/>
                <w:sz w:val="20"/>
                <w:lang w:val="zh-CN" w:eastAsia="zh-CN"/>
              </w:rPr>
              <w:br w:type="textWrapping"/>
            </w:r>
            <w:r>
              <w:rPr>
                <w:rFonts w:ascii="宋体" w:hAnsi="宋体" w:eastAsia="宋体" w:cs="宋体"/>
                <w:b w:val="0"/>
                <w:sz w:val="20"/>
                <w:lang w:val="zh-CN" w:eastAsia="zh-CN"/>
              </w:rPr>
              <w:t>3.要求甲方全员开展合规培训，整改验收合格后方可恢复合作权限。</w:t>
            </w:r>
          </w:p>
        </w:tc>
        <w:tc>
          <w:tcPr>
            <w:tcW w:w="1550" w:type="dxa"/>
            <w:noWrap w:val="0"/>
            <w:vAlign w:val="center"/>
          </w:tcPr>
          <w:p w14:paraId="4158D105">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扣除保证金的50%-80%作为违约金</w:t>
            </w:r>
          </w:p>
        </w:tc>
        <w:tc>
          <w:tcPr>
            <w:tcW w:w="2551" w:type="dxa"/>
            <w:noWrap w:val="0"/>
            <w:vAlign w:val="center"/>
          </w:tcPr>
          <w:p w14:paraId="18DB5239">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若导致乙方被投诉、问询、整改的，甲方全额承担罚款、律师费、舆情处置费、</w:t>
            </w:r>
            <w:r>
              <w:rPr>
                <w:rFonts w:hint="eastAsia" w:ascii="宋体" w:hAnsi="宋体" w:eastAsia="宋体" w:cs="宋体"/>
                <w:b w:val="0"/>
                <w:sz w:val="20"/>
                <w:lang w:val="en-US" w:eastAsia="zh-CN"/>
              </w:rPr>
              <w:t>人工费</w:t>
            </w:r>
            <w:r>
              <w:rPr>
                <w:rFonts w:ascii="宋体" w:hAnsi="宋体" w:eastAsia="宋体" w:cs="宋体"/>
                <w:b w:val="0"/>
                <w:sz w:val="20"/>
                <w:lang w:val="zh-CN" w:eastAsia="zh-CN"/>
              </w:rPr>
              <w:t>等所有损失</w:t>
            </w:r>
          </w:p>
        </w:tc>
      </w:tr>
      <w:tr w14:paraId="796FB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17" w:type="dxa"/>
            <w:noWrap w:val="0"/>
            <w:vAlign w:val="center"/>
          </w:tcPr>
          <w:p w14:paraId="6F6488C6">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重大恶性违约</w:t>
            </w:r>
          </w:p>
        </w:tc>
        <w:tc>
          <w:tcPr>
            <w:tcW w:w="3552" w:type="dxa"/>
            <w:noWrap w:val="0"/>
            <w:vAlign w:val="center"/>
          </w:tcPr>
          <w:p w14:paraId="4BE94095">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1.立即永久封禁甲方全部发布权限，终止双方全部合作协议；</w:t>
            </w:r>
            <w:r>
              <w:rPr>
                <w:rFonts w:ascii="宋体" w:hAnsi="宋体" w:eastAsia="宋体" w:cs="宋体"/>
                <w:b w:val="0"/>
                <w:sz w:val="20"/>
                <w:lang w:val="zh-CN" w:eastAsia="zh-CN"/>
              </w:rPr>
              <w:br w:type="textWrapping"/>
            </w:r>
            <w:r>
              <w:rPr>
                <w:rFonts w:ascii="宋体" w:hAnsi="宋体" w:eastAsia="宋体" w:cs="宋体"/>
                <w:b w:val="0"/>
                <w:sz w:val="20"/>
                <w:lang w:val="zh-CN" w:eastAsia="zh-CN"/>
              </w:rPr>
              <w:t>2.乙方有权将甲方违规行为公示、上报行业监管平台及征信机构；</w:t>
            </w:r>
            <w:r>
              <w:rPr>
                <w:rFonts w:ascii="宋体" w:hAnsi="宋体" w:eastAsia="宋体" w:cs="宋体"/>
                <w:b w:val="0"/>
                <w:sz w:val="20"/>
                <w:lang w:val="zh-CN" w:eastAsia="zh-CN"/>
              </w:rPr>
              <w:br w:type="textWrapping"/>
            </w:r>
            <w:r>
              <w:rPr>
                <w:rFonts w:ascii="宋体" w:hAnsi="宋体" w:eastAsia="宋体" w:cs="宋体"/>
                <w:b w:val="0"/>
                <w:sz w:val="20"/>
                <w:lang w:val="zh-CN" w:eastAsia="zh-CN"/>
              </w:rPr>
              <w:t>3.若涉嫌违法犯罪的，乙方有权移交公安、监管部门依法追责；</w:t>
            </w:r>
            <w:r>
              <w:rPr>
                <w:rFonts w:ascii="宋体" w:hAnsi="宋体" w:eastAsia="宋体" w:cs="宋体"/>
                <w:b w:val="0"/>
                <w:sz w:val="20"/>
                <w:lang w:val="zh-CN" w:eastAsia="zh-CN"/>
              </w:rPr>
              <w:br w:type="textWrapping"/>
            </w:r>
            <w:r>
              <w:rPr>
                <w:rFonts w:ascii="宋体" w:hAnsi="宋体" w:eastAsia="宋体" w:cs="宋体"/>
                <w:b w:val="0"/>
                <w:sz w:val="20"/>
                <w:lang w:val="zh-CN" w:eastAsia="zh-CN"/>
              </w:rPr>
              <w:t>4.终身禁止甲方及甲方关联主体、关联账号与乙方开展任何合作，并通过网经社全媒体矩阵曝光。</w:t>
            </w:r>
          </w:p>
        </w:tc>
        <w:tc>
          <w:tcPr>
            <w:tcW w:w="1550" w:type="dxa"/>
            <w:noWrap w:val="0"/>
            <w:vAlign w:val="center"/>
          </w:tcPr>
          <w:p w14:paraId="7382CADC">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全额扣除所有合作保证金，甲方额外赔偿全部经济损失、品牌损失、行政处罚费用、维权成本等</w:t>
            </w:r>
          </w:p>
        </w:tc>
        <w:tc>
          <w:tcPr>
            <w:tcW w:w="2551" w:type="dxa"/>
            <w:noWrap w:val="0"/>
            <w:vAlign w:val="center"/>
          </w:tcPr>
          <w:p w14:paraId="7B5B6172">
            <w:pPr>
              <w:pageBreakBefore w:val="0"/>
              <w:kinsoku/>
              <w:wordWrap/>
              <w:overflowPunct/>
              <w:topLinePunct w:val="0"/>
              <w:autoSpaceDE/>
              <w:autoSpaceDN/>
              <w:bidi w:val="0"/>
              <w:adjustRightInd/>
              <w:spacing w:line="360" w:lineRule="auto"/>
              <w:textAlignment w:val="auto"/>
            </w:pPr>
            <w:r>
              <w:rPr>
                <w:rFonts w:ascii="宋体" w:hAnsi="宋体" w:eastAsia="宋体" w:cs="宋体"/>
                <w:b w:val="0"/>
                <w:sz w:val="20"/>
                <w:lang w:val="zh-CN" w:eastAsia="zh-CN"/>
              </w:rPr>
              <w:t>已收取的全部合作费用不予退还；保留追究全部法律责任的权利</w:t>
            </w:r>
          </w:p>
        </w:tc>
      </w:tr>
    </w:tbl>
    <w:p w14:paraId="118DB69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Times New Roman"/>
          <w:b/>
          <w:bCs/>
          <w:color w:val="000000"/>
          <w:sz w:val="24"/>
        </w:rPr>
      </w:pPr>
      <w:r>
        <w:rPr>
          <w:rFonts w:ascii="宋体" w:hAnsi="宋体" w:eastAsia="宋体" w:cs="Times New Roman"/>
          <w:b/>
          <w:bCs/>
          <w:color w:val="000000"/>
          <w:sz w:val="24"/>
        </w:rPr>
        <w:t>3.5 通用补充规则</w:t>
      </w:r>
    </w:p>
    <w:p w14:paraId="383FA83C">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 xml:space="preserve">1. </w:t>
      </w:r>
      <w:r>
        <w:rPr>
          <w:rFonts w:ascii="宋体" w:hAnsi="宋体"/>
          <w:b/>
          <w:bCs/>
          <w:color w:val="000000"/>
          <w:sz w:val="24"/>
        </w:rPr>
        <w:t>整改时限规则</w:t>
      </w:r>
      <w:r>
        <w:rPr>
          <w:rFonts w:ascii="宋体" w:hAnsi="宋体"/>
          <w:color w:val="000000"/>
          <w:sz w:val="24"/>
        </w:rPr>
        <w:t>：甲方收到乙方违规通知后，需在规定时限内完成整改，逾期未整改、整改不到位的，自动升级一级处罚标准；</w:t>
      </w:r>
    </w:p>
    <w:p w14:paraId="15BC8A2F">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 xml:space="preserve">2. </w:t>
      </w:r>
      <w:r>
        <w:rPr>
          <w:rFonts w:ascii="宋体" w:hAnsi="宋体"/>
          <w:b/>
          <w:bCs/>
          <w:color w:val="000000"/>
          <w:sz w:val="24"/>
        </w:rPr>
        <w:t>主观恶意加重规则</w:t>
      </w:r>
      <w:r>
        <w:rPr>
          <w:rFonts w:ascii="宋体" w:hAnsi="宋体"/>
          <w:color w:val="000000"/>
          <w:sz w:val="24"/>
        </w:rPr>
        <w:t>：刻意规避审核、批量发布违规内容、诱导违规传播、拒不配合核查整改的，无论初次违规等级，均可升级处罚；</w:t>
      </w:r>
    </w:p>
    <w:p w14:paraId="1B5B0700">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 xml:space="preserve">3. </w:t>
      </w:r>
      <w:r>
        <w:rPr>
          <w:rFonts w:ascii="宋体" w:hAnsi="宋体"/>
          <w:b/>
          <w:bCs/>
          <w:color w:val="000000"/>
          <w:sz w:val="24"/>
        </w:rPr>
        <w:t>损失兜底规则</w:t>
      </w:r>
      <w:r>
        <w:rPr>
          <w:rFonts w:ascii="宋体" w:hAnsi="宋体"/>
          <w:color w:val="000000"/>
          <w:sz w:val="24"/>
        </w:rPr>
        <w:t>：本条款约定的保证金、违约金不足以弥补乙方、第三方损失的，乙方有权向甲方追偿差额部分；</w:t>
      </w:r>
    </w:p>
    <w:p w14:paraId="1D746D09">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color w:val="000000"/>
          <w:sz w:val="24"/>
        </w:rPr>
      </w:pPr>
      <w:r>
        <w:rPr>
          <w:rFonts w:ascii="宋体" w:hAnsi="宋体"/>
          <w:color w:val="000000"/>
          <w:sz w:val="24"/>
        </w:rPr>
        <w:t xml:space="preserve">4. </w:t>
      </w:r>
      <w:r>
        <w:rPr>
          <w:rFonts w:ascii="宋体" w:hAnsi="宋体"/>
          <w:b/>
          <w:bCs/>
          <w:color w:val="000000"/>
          <w:sz w:val="24"/>
        </w:rPr>
        <w:t>免责边界</w:t>
      </w:r>
      <w:r>
        <w:rPr>
          <w:rFonts w:ascii="宋体" w:hAnsi="宋体"/>
          <w:color w:val="000000"/>
          <w:sz w:val="24"/>
        </w:rPr>
        <w:t>：甲方对外发布的所有内容，最终合规责任均由甲方自行承担，因甲方违规引发的一切行政处罚、民事赔偿、刑事追责，均与乙方无关；</w:t>
      </w:r>
      <w:r>
        <w:rPr>
          <w:rFonts w:ascii="宋体" w:hAnsi="宋体"/>
          <w:color w:val="000000"/>
          <w:sz w:val="24"/>
          <w:lang w:val="zh-CN" w:eastAsia="zh-CN"/>
        </w:rPr>
        <w:t>乙方因此遭受损失的</w:t>
      </w:r>
      <w:r>
        <w:rPr>
          <w:rFonts w:hint="eastAsia" w:ascii="宋体" w:hAnsi="宋体"/>
          <w:color w:val="000000"/>
          <w:sz w:val="24"/>
          <w:lang w:val="zh-CN" w:eastAsia="zh-CN"/>
        </w:rPr>
        <w:t>（</w:t>
      </w:r>
      <w:r>
        <w:rPr>
          <w:rFonts w:hint="eastAsia" w:ascii="宋体" w:hAnsi="宋体"/>
          <w:color w:val="000000"/>
          <w:sz w:val="24"/>
          <w:lang w:val="en-US" w:eastAsia="zh-CN"/>
        </w:rPr>
        <w:t>包括但不限于经济损失、声誉损失、</w:t>
      </w:r>
      <w:r>
        <w:rPr>
          <w:rFonts w:hint="default" w:ascii="宋体" w:hAnsi="宋体"/>
          <w:color w:val="000000"/>
          <w:sz w:val="24"/>
          <w:lang w:val="en-US" w:eastAsia="zh-CN"/>
        </w:rPr>
        <w:t>AI</w:t>
      </w:r>
      <w:r>
        <w:rPr>
          <w:rFonts w:hint="eastAsia" w:ascii="宋体" w:hAnsi="宋体"/>
          <w:color w:val="000000"/>
          <w:sz w:val="24"/>
          <w:lang w:val="en-US" w:eastAsia="zh-CN"/>
        </w:rPr>
        <w:t>大模型收录降权等</w:t>
      </w:r>
      <w:r>
        <w:rPr>
          <w:rFonts w:hint="eastAsia" w:ascii="宋体" w:hAnsi="宋体"/>
          <w:color w:val="000000"/>
          <w:sz w:val="24"/>
          <w:lang w:val="zh-CN" w:eastAsia="zh-CN"/>
        </w:rPr>
        <w:t>）</w:t>
      </w:r>
      <w:r>
        <w:rPr>
          <w:rFonts w:ascii="宋体" w:hAnsi="宋体"/>
          <w:color w:val="000000"/>
          <w:sz w:val="24"/>
          <w:lang w:val="zh-CN" w:eastAsia="zh-CN"/>
        </w:rPr>
        <w:t>，有权向甲方全额追偿。</w:t>
      </w:r>
    </w:p>
    <w:p w14:paraId="2C10C87E">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bookmarkStart w:id="11" w:name="OLE_LINK7"/>
      <w:r>
        <w:rPr>
          <w:rFonts w:hint="eastAsia" w:ascii="宋体" w:hAnsi="宋体"/>
          <w:b/>
          <w:bCs/>
          <w:color w:val="000000"/>
          <w:sz w:val="28"/>
          <w:szCs w:val="28"/>
        </w:rPr>
        <w:t>四、保密条款</w:t>
      </w:r>
    </w:p>
    <w:bookmarkEnd w:id="11"/>
    <w:p w14:paraId="48C665E0">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任何一方对于因签署或履行本合同而了解或接触到的对方机密资料和信息（下称“保密信息”承担保密义务；非经对方书面同意，任何一方不得向第三方泄露、给予或转让该等保密信息。</w:t>
      </w:r>
      <w:r>
        <w:rPr>
          <w:rFonts w:hint="eastAsia" w:ascii="宋体" w:hAnsi="宋体"/>
          <w:color w:val="000000"/>
          <w:sz w:val="24"/>
        </w:rPr>
        <w:t>应当保密或有理由应当保密的信息，包括（但并不限于）有关销售成本和其它未公布的财务信息、产品和经营计划、设计规划、营销数据资料和赞助者的信息等。</w:t>
      </w:r>
    </w:p>
    <w:p w14:paraId="0F39CDC7">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如对方提出要求，任何一方均应将载有对方保密信息的任何文件、资料或软件，按对方要求归还对方，或予以销毁，或进行其他处置，并且不得继续使用这些保密信息。</w:t>
      </w:r>
    </w:p>
    <w:p w14:paraId="1049C7A5">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在本合同终止之后，双方在本条款项下的义务并不随之终止，双方仍需履行其所承诺的保密义务，直到对方同意其解除此项义务，或事实上不会因违反本合同的保密条款而给对方造成任何形式的损害时为止。</w:t>
      </w:r>
      <w:r>
        <w:rPr>
          <w:rFonts w:hint="eastAsia" w:ascii="宋体" w:hAnsi="宋体"/>
          <w:color w:val="000000"/>
          <w:sz w:val="24"/>
        </w:rPr>
        <w:t>本合同或其任何条款的终止、中止、失效、无效均不影响本条款的有效性及对双方的约束力。</w:t>
      </w:r>
    </w:p>
    <w:p w14:paraId="33B47387">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五、陈述与保证</w:t>
      </w:r>
    </w:p>
    <w:p w14:paraId="4A86D105">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双方互相向对方声明、陈述和保证如下：</w:t>
      </w:r>
    </w:p>
    <w:p w14:paraId="3113C7E3">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1.其是合法设立并有效存续的公司；</w:t>
      </w:r>
    </w:p>
    <w:p w14:paraId="5E672FE5">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hint="eastAsia" w:ascii="宋体" w:hAnsi="宋体"/>
          <w:color w:val="000000"/>
          <w:sz w:val="24"/>
        </w:rPr>
        <w:t>2</w:t>
      </w:r>
      <w:r>
        <w:rPr>
          <w:rFonts w:ascii="宋体" w:hAnsi="宋体"/>
          <w:color w:val="000000"/>
          <w:sz w:val="24"/>
        </w:rPr>
        <w:t>.其有资格从事本合同项下之交易，而该等交易符合其经营范围之规定；</w:t>
      </w:r>
    </w:p>
    <w:p w14:paraId="5DC2B797">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hint="eastAsia" w:ascii="宋体" w:hAnsi="宋体"/>
          <w:color w:val="000000"/>
          <w:sz w:val="24"/>
        </w:rPr>
        <w:t>3</w:t>
      </w:r>
      <w:r>
        <w:rPr>
          <w:rFonts w:ascii="宋体" w:hAnsi="宋体"/>
          <w:color w:val="000000"/>
          <w:sz w:val="24"/>
        </w:rPr>
        <w:t>.其可全权订立本合同；并且其授权代表已获得充分授权可代表其签署本合同；</w:t>
      </w:r>
    </w:p>
    <w:p w14:paraId="03B9EB07">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hint="eastAsia" w:ascii="宋体" w:hAnsi="宋体"/>
          <w:color w:val="000000"/>
          <w:sz w:val="24"/>
        </w:rPr>
        <w:t>4</w:t>
      </w:r>
      <w:r>
        <w:rPr>
          <w:rFonts w:ascii="宋体" w:hAnsi="宋体"/>
          <w:color w:val="000000"/>
          <w:sz w:val="24"/>
        </w:rPr>
        <w:t>.其有能力履行其于本合同项下之义务；并且该等履行义务的行为不违反任何对其有约束力的法律文件的限制；</w:t>
      </w:r>
    </w:p>
    <w:p w14:paraId="693DBA3E">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hint="eastAsia" w:ascii="宋体" w:hAnsi="宋体"/>
          <w:color w:val="000000"/>
          <w:sz w:val="24"/>
        </w:rPr>
        <w:t>5</w:t>
      </w:r>
      <w:r>
        <w:rPr>
          <w:rFonts w:ascii="宋体" w:hAnsi="宋体"/>
          <w:color w:val="000000"/>
          <w:sz w:val="24"/>
        </w:rPr>
        <w:t>.其并非清算、解散或破产程序之主体。</w:t>
      </w:r>
    </w:p>
    <w:p w14:paraId="791000B6">
      <w:pPr>
        <w:pageBreakBefore w:val="0"/>
        <w:kinsoku/>
        <w:wordWrap/>
        <w:overflowPunct/>
        <w:topLinePunct w:val="0"/>
        <w:autoSpaceDE/>
        <w:autoSpaceDN/>
        <w:bidi w:val="0"/>
        <w:adjustRightInd/>
        <w:snapToGrid w:val="0"/>
        <w:spacing w:line="360" w:lineRule="auto"/>
        <w:ind w:firstLine="480" w:firstLineChars="200"/>
        <w:jc w:val="left"/>
        <w:textAlignment w:val="auto"/>
        <w:rPr>
          <w:rFonts w:ascii="宋体" w:hAnsi="宋体"/>
          <w:color w:val="000000"/>
          <w:sz w:val="24"/>
        </w:rPr>
      </w:pPr>
      <w:r>
        <w:rPr>
          <w:rFonts w:ascii="宋体" w:hAnsi="宋体"/>
          <w:color w:val="000000"/>
          <w:sz w:val="24"/>
        </w:rPr>
        <w:t>甲方承诺根据本合同规定的时间、金额和付款方式向乙方支付相关费用。</w:t>
      </w:r>
    </w:p>
    <w:p w14:paraId="456DD4EA">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六、</w:t>
      </w:r>
      <w:r>
        <w:rPr>
          <w:rFonts w:ascii="宋体" w:hAnsi="宋体"/>
          <w:b/>
          <w:bCs/>
          <w:color w:val="000000"/>
          <w:sz w:val="28"/>
          <w:szCs w:val="28"/>
        </w:rPr>
        <w:t>违约责任</w:t>
      </w:r>
    </w:p>
    <w:p w14:paraId="3AF4E436">
      <w:pPr>
        <w:pageBreakBefore w:val="0"/>
        <w:widowControl/>
        <w:kinsoku/>
        <w:wordWrap/>
        <w:overflowPunct/>
        <w:topLinePunct w:val="0"/>
        <w:autoSpaceDE/>
        <w:autoSpaceDN/>
        <w:bidi w:val="0"/>
        <w:adjustRightInd/>
        <w:spacing w:line="360" w:lineRule="auto"/>
        <w:ind w:firstLine="480" w:firstLineChars="200"/>
        <w:jc w:val="left"/>
        <w:textAlignment w:val="auto"/>
        <w:rPr>
          <w:rFonts w:ascii="宋体" w:hAnsi="宋体" w:cs="宋体"/>
          <w:color w:val="000000"/>
          <w:kern w:val="0"/>
          <w:sz w:val="24"/>
        </w:rPr>
      </w:pPr>
      <w:r>
        <w:rPr>
          <w:rFonts w:ascii="宋体" w:hAnsi="宋体" w:cs="宋体"/>
          <w:color w:val="000000"/>
          <w:kern w:val="0"/>
          <w:sz w:val="24"/>
        </w:rPr>
        <w:t>如甲方未按本合同规定的时间和金额向乙方支付全部款项，则每逾期一日，甲方应向乙方支付相当于逾期未付款项万分之五的滞纳金；逾期超过7日的，乙方有权停止发布甲方全部内容，因此带来的一切不利后果由甲方自负；逾期超过15日的，乙方有权单方解除本合同，保证金不予退还。 乙方有权直接从合作保证金中抵扣甲方应付的逾期滞纳金及欠款，抵扣后保证金不足的，甲方应在3个工作日内补足。</w:t>
      </w:r>
    </w:p>
    <w:p w14:paraId="20551C03">
      <w:pPr>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kern w:val="0"/>
          <w:sz w:val="24"/>
          <w:lang w:eastAsia="zh-CN"/>
        </w:rPr>
      </w:pPr>
      <w:r>
        <w:rPr>
          <w:rFonts w:ascii="宋体" w:hAnsi="宋体" w:cs="宋体"/>
          <w:color w:val="000000"/>
          <w:kern w:val="0"/>
          <w:sz w:val="24"/>
        </w:rPr>
        <w:t>如因甲方原因需终止本合同，甲方须在双方确认的发布期前5天书面通知乙方，已支付的内容发布服务费不予退还；同时乙方有权扣除全部或部分保证金作为违约金</w:t>
      </w:r>
      <w:r>
        <w:rPr>
          <w:rFonts w:hint="eastAsia" w:ascii="宋体" w:hAnsi="宋体" w:cs="宋体"/>
          <w:color w:val="000000"/>
          <w:kern w:val="0"/>
          <w:sz w:val="24"/>
          <w:lang w:eastAsia="zh-CN"/>
        </w:rPr>
        <w:t>。甲方违反本合同内容规范约定的，除按本合同第四条处理外，还应向乙方支付违约金，违约金金额不低于合作保证金总额；若违约金不足以弥补乙方实际损失（包括但不限于行政罚款、赔偿金、律师费、公证费、品牌名誉损失等）的，甲方还应补足差额。</w:t>
      </w:r>
    </w:p>
    <w:p w14:paraId="79EFB895">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七、不可抗力</w:t>
      </w:r>
    </w:p>
    <w:p w14:paraId="16741F0B">
      <w:pPr>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kern w:val="0"/>
          <w:sz w:val="24"/>
        </w:rPr>
      </w:pPr>
      <w:r>
        <w:rPr>
          <w:rFonts w:hint="eastAsia" w:ascii="宋体" w:hAnsi="宋体" w:cs="宋体"/>
          <w:color w:val="000000"/>
          <w:kern w:val="0"/>
          <w:sz w:val="24"/>
        </w:rPr>
        <w:t>“不可抗力” 是指本合同双方不能合理控制、不可预见或即使预见亦无法避免的事件，该事件妨碍、影响或延误任何一方根据本合同履行其全部或部分义务。该事件包括但不限于政府行为、自然灾害、战争或任何其它类似事件。</w:t>
      </w:r>
    </w:p>
    <w:p w14:paraId="01DEC457">
      <w:pPr>
        <w:pageBreakBefore w:val="0"/>
        <w:widowControl/>
        <w:kinsoku/>
        <w:wordWrap/>
        <w:overflowPunct/>
        <w:topLinePunct w:val="0"/>
        <w:autoSpaceDE/>
        <w:autoSpaceDN/>
        <w:bidi w:val="0"/>
        <w:adjustRightInd/>
        <w:spacing w:line="360" w:lineRule="auto"/>
        <w:ind w:firstLine="480" w:firstLineChars="200"/>
        <w:jc w:val="left"/>
        <w:textAlignment w:val="auto"/>
        <w:rPr>
          <w:rFonts w:ascii="宋体" w:hAnsi="宋体" w:cs="宋体"/>
          <w:color w:val="000000"/>
          <w:kern w:val="0"/>
          <w:sz w:val="24"/>
        </w:rPr>
      </w:pPr>
      <w:r>
        <w:rPr>
          <w:rFonts w:hint="eastAsia" w:ascii="宋体" w:hAnsi="宋体" w:cs="宋体"/>
          <w:color w:val="000000"/>
          <w:kern w:val="0"/>
          <w:sz w:val="24"/>
        </w:rPr>
        <w:t>遭受不可抗力事件的一方应及时通知对方，可暂行中止履行本合同项下的义务直至不可抗力事件的影响消除为止，并且无需为此而承担违约责任；但应尽最大努力克服该事件，减轻其负面影响。</w:t>
      </w:r>
    </w:p>
    <w:p w14:paraId="64658242">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八、争议解决</w:t>
      </w:r>
    </w:p>
    <w:p w14:paraId="32F94EA3">
      <w:pPr>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kern w:val="0"/>
          <w:sz w:val="24"/>
        </w:rPr>
      </w:pPr>
      <w:r>
        <w:rPr>
          <w:rFonts w:hint="eastAsia" w:ascii="宋体" w:hAnsi="宋体" w:cs="宋体"/>
          <w:color w:val="000000"/>
          <w:kern w:val="0"/>
          <w:sz w:val="24"/>
        </w:rPr>
        <w:t>在双方就本合同项下条款的解释和履行发生争议时，双方应通过协商解决该争议。如果协商不成，向</w:t>
      </w:r>
      <w:r>
        <w:rPr>
          <w:rFonts w:hint="eastAsia" w:ascii="宋体" w:hAnsi="宋体" w:cs="宋体"/>
          <w:color w:val="000000"/>
          <w:kern w:val="0"/>
          <w:sz w:val="24"/>
          <w:lang w:val="en-US" w:eastAsia="zh-CN"/>
        </w:rPr>
        <w:t>乙方所在地</w:t>
      </w:r>
      <w:r>
        <w:rPr>
          <w:rFonts w:hint="eastAsia" w:ascii="宋体" w:hAnsi="宋体" w:cs="宋体"/>
          <w:color w:val="000000"/>
          <w:kern w:val="0"/>
          <w:sz w:val="24"/>
        </w:rPr>
        <w:t>有管辖权的人民法院</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杭州市滨江区人民法院</w:t>
      </w:r>
      <w:r>
        <w:rPr>
          <w:rFonts w:hint="eastAsia" w:ascii="宋体" w:hAnsi="宋体" w:cs="宋体"/>
          <w:color w:val="000000"/>
          <w:kern w:val="0"/>
          <w:sz w:val="24"/>
          <w:lang w:eastAsia="zh-CN"/>
        </w:rPr>
        <w:t>）</w:t>
      </w:r>
      <w:r>
        <w:rPr>
          <w:rFonts w:hint="eastAsia" w:ascii="宋体" w:hAnsi="宋体" w:cs="宋体"/>
          <w:color w:val="000000"/>
          <w:kern w:val="0"/>
          <w:sz w:val="24"/>
        </w:rPr>
        <w:t>提起诉讼。</w:t>
      </w:r>
    </w:p>
    <w:p w14:paraId="5BA0BB7D">
      <w:pPr>
        <w:pageBreakBefore w:val="0"/>
        <w:widowControl/>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000000"/>
          <w:kern w:val="0"/>
          <w:sz w:val="24"/>
        </w:rPr>
      </w:pPr>
      <w:r>
        <w:rPr>
          <w:rFonts w:hint="eastAsia" w:ascii="宋体" w:hAnsi="宋体" w:cs="宋体"/>
          <w:color w:val="000000"/>
          <w:kern w:val="0"/>
          <w:sz w:val="24"/>
        </w:rPr>
        <w:t>本合同的订立、效力、执行和解释及争议的解决均应适用中国法律。</w:t>
      </w:r>
    </w:p>
    <w:p w14:paraId="2ADFFCB2">
      <w:pPr>
        <w:pageBreakBefore w:val="0"/>
        <w:kinsoku/>
        <w:wordWrap/>
        <w:overflowPunct/>
        <w:topLinePunct w:val="0"/>
        <w:autoSpaceDE/>
        <w:autoSpaceDN/>
        <w:bidi w:val="0"/>
        <w:adjustRightInd/>
        <w:spacing w:line="360" w:lineRule="auto"/>
        <w:textAlignment w:val="auto"/>
        <w:rPr>
          <w:rFonts w:hint="eastAsia" w:ascii="宋体" w:hAnsi="宋体"/>
          <w:b/>
          <w:bCs/>
          <w:color w:val="000000"/>
          <w:sz w:val="28"/>
          <w:szCs w:val="28"/>
        </w:rPr>
      </w:pPr>
      <w:r>
        <w:rPr>
          <w:rFonts w:hint="eastAsia" w:ascii="宋体" w:hAnsi="宋体"/>
          <w:b/>
          <w:bCs/>
          <w:color w:val="000000"/>
          <w:sz w:val="28"/>
          <w:szCs w:val="28"/>
        </w:rPr>
        <w:t>九、其他规定</w:t>
      </w:r>
    </w:p>
    <w:p w14:paraId="279C381E">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ascii="宋体" w:hAnsi="宋体"/>
          <w:bCs/>
          <w:color w:val="000000"/>
          <w:sz w:val="24"/>
        </w:rPr>
        <w:t>1.</w:t>
      </w:r>
      <w:r>
        <w:rPr>
          <w:rFonts w:hint="eastAsia" w:ascii="宋体" w:hAnsi="宋体"/>
          <w:bCs/>
          <w:color w:val="000000"/>
          <w:sz w:val="24"/>
        </w:rPr>
        <w:t>未经对方书面同意，任何一方无权将自本合同中获得的服务和相关权益私自出售、转让给第三方。</w:t>
      </w:r>
    </w:p>
    <w:p w14:paraId="0F328C10">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2</w:t>
      </w:r>
      <w:r>
        <w:rPr>
          <w:rFonts w:ascii="宋体" w:hAnsi="宋体"/>
          <w:bCs/>
          <w:color w:val="000000"/>
          <w:sz w:val="24"/>
        </w:rPr>
        <w:t>.</w:t>
      </w:r>
      <w:r>
        <w:rPr>
          <w:rFonts w:hint="eastAsia" w:ascii="宋体" w:hAnsi="宋体"/>
          <w:bCs/>
          <w:color w:val="000000"/>
          <w:sz w:val="24"/>
        </w:rPr>
        <w:t>本合同双方之间的</w:t>
      </w:r>
      <w:r>
        <w:rPr>
          <w:rFonts w:hint="eastAsia" w:ascii="宋体" w:hAnsi="宋体"/>
          <w:bCs/>
          <w:color w:val="000000"/>
          <w:sz w:val="24"/>
          <w:lang w:val="en-US" w:eastAsia="zh-CN"/>
        </w:rPr>
        <w:t>通</w:t>
      </w:r>
      <w:r>
        <w:rPr>
          <w:rFonts w:hint="eastAsia" w:ascii="宋体" w:hAnsi="宋体"/>
          <w:bCs/>
          <w:color w:val="000000"/>
          <w:sz w:val="24"/>
        </w:rPr>
        <w:t>知</w:t>
      </w:r>
      <w:r>
        <w:rPr>
          <w:rFonts w:hint="eastAsia" w:ascii="宋体" w:hAnsi="宋体"/>
          <w:bCs/>
          <w:color w:val="000000"/>
          <w:sz w:val="24"/>
          <w:lang w:eastAsia="zh-CN"/>
        </w:rPr>
        <w:t>：</w:t>
      </w:r>
      <w:r>
        <w:rPr>
          <w:rFonts w:hint="eastAsia" w:ascii="宋体" w:hAnsi="宋体"/>
          <w:bCs/>
          <w:color w:val="000000"/>
          <w:sz w:val="24"/>
          <w:lang w:val="en-US" w:eastAsia="zh-CN"/>
        </w:rPr>
        <w:t>一般事务以即时通讯为主，重要通知以邮件、</w:t>
      </w:r>
      <w:r>
        <w:rPr>
          <w:rFonts w:hint="eastAsia" w:ascii="宋体" w:hAnsi="宋体"/>
          <w:bCs/>
          <w:color w:val="000000"/>
          <w:sz w:val="24"/>
        </w:rPr>
        <w:t>书面形式。</w:t>
      </w:r>
    </w:p>
    <w:p w14:paraId="048FC698">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3</w:t>
      </w:r>
      <w:r>
        <w:rPr>
          <w:rFonts w:ascii="宋体" w:hAnsi="宋体"/>
          <w:bCs/>
          <w:color w:val="000000"/>
          <w:sz w:val="24"/>
        </w:rPr>
        <w:t>.</w:t>
      </w:r>
      <w:r>
        <w:rPr>
          <w:rFonts w:hint="eastAsia" w:ascii="宋体" w:hAnsi="宋体"/>
          <w:bCs/>
          <w:color w:val="000000"/>
          <w:sz w:val="24"/>
        </w:rPr>
        <w:t>双方须以书面形式对本合同作出修改和补充。经过双方签署的修改协议和补充协议是本合同的组成部分，具有与本合同同等的法律效力。</w:t>
      </w:r>
    </w:p>
    <w:p w14:paraId="526B8B44">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4</w:t>
      </w:r>
      <w:r>
        <w:rPr>
          <w:rFonts w:ascii="宋体" w:hAnsi="宋体"/>
          <w:bCs/>
          <w:color w:val="000000"/>
          <w:sz w:val="24"/>
        </w:rPr>
        <w:t>.</w:t>
      </w:r>
      <w:r>
        <w:rPr>
          <w:rFonts w:hint="eastAsia" w:ascii="宋体" w:hAnsi="宋体"/>
          <w:bCs/>
          <w:color w:val="000000"/>
          <w:sz w:val="24"/>
        </w:rPr>
        <w:t>本合同的附件为本合同的一部分，与本合同具有同等效力。甲乙双方应在附件落款处签字盖章。</w:t>
      </w:r>
    </w:p>
    <w:p w14:paraId="69D0370B">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ascii="宋体" w:hAnsi="宋体"/>
          <w:bCs/>
          <w:color w:val="000000"/>
          <w:sz w:val="24"/>
        </w:rPr>
        <w:t>5.</w:t>
      </w:r>
      <w:r>
        <w:rPr>
          <w:rFonts w:hint="eastAsia" w:ascii="宋体" w:hAnsi="宋体"/>
          <w:bCs/>
          <w:color w:val="000000"/>
          <w:sz w:val="24"/>
        </w:rPr>
        <w:t>如果本合同中的任何条款因违反法律或政府规定或因其他原因而完全或部分无效或不具有执行力，则该条款被视为删除。但该条款的删除不影响本合同其他条款的法律效力。</w:t>
      </w:r>
    </w:p>
    <w:p w14:paraId="318B3650">
      <w:pPr>
        <w:pageBreakBefore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bCs/>
          <w:color w:val="000000"/>
          <w:sz w:val="24"/>
        </w:rPr>
      </w:pPr>
      <w:r>
        <w:rPr>
          <w:rFonts w:hint="eastAsia" w:ascii="宋体" w:hAnsi="宋体"/>
          <w:bCs/>
          <w:color w:val="000000"/>
          <w:sz w:val="24"/>
        </w:rPr>
        <w:t>6</w:t>
      </w:r>
      <w:r>
        <w:rPr>
          <w:rFonts w:ascii="宋体" w:hAnsi="宋体"/>
          <w:bCs/>
          <w:color w:val="000000"/>
          <w:sz w:val="24"/>
        </w:rPr>
        <w:t>.</w:t>
      </w:r>
      <w:r>
        <w:rPr>
          <w:rFonts w:hint="eastAsia" w:ascii="宋体" w:hAnsi="宋体"/>
          <w:bCs/>
          <w:color w:val="000000"/>
          <w:sz w:val="24"/>
        </w:rPr>
        <w:t>本合同的传真件有效，合同一式贰份，双方各执一份，具有同等法律效力；合同自双方签字、盖章之日起生效。合同期满，双方另行签约。</w:t>
      </w:r>
    </w:p>
    <w:p w14:paraId="75566EB4">
      <w:pPr>
        <w:pageBreakBefore w:val="0"/>
        <w:kinsoku/>
        <w:wordWrap/>
        <w:overflowPunct/>
        <w:topLinePunct w:val="0"/>
        <w:autoSpaceDE/>
        <w:autoSpaceDN/>
        <w:bidi w:val="0"/>
        <w:adjustRightInd/>
        <w:snapToGrid w:val="0"/>
        <w:spacing w:line="360" w:lineRule="auto"/>
        <w:textAlignment w:val="auto"/>
        <w:rPr>
          <w:rFonts w:hint="eastAsia" w:ascii="宋体" w:hAnsi="宋体"/>
          <w:b/>
          <w:iCs/>
          <w:color w:val="000000"/>
          <w:sz w:val="24"/>
        </w:rPr>
      </w:pPr>
      <w:r>
        <w:rPr>
          <w:rFonts w:hint="eastAsia" w:ascii="宋体" w:hAnsi="宋体"/>
          <w:b/>
          <w:iCs/>
          <w:color w:val="000000"/>
          <w:sz w:val="24"/>
        </w:rPr>
        <w:t>（以下无正文）</w:t>
      </w:r>
    </w:p>
    <w:p w14:paraId="162760F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b/>
          <w:iCs/>
          <w:color w:val="000000"/>
          <w:sz w:val="24"/>
        </w:rPr>
      </w:pPr>
      <w:r>
        <w:rPr>
          <w:rFonts w:hint="eastAsia" w:ascii="宋体" w:hAnsi="宋体"/>
          <w:b/>
          <w:iCs/>
          <w:color w:val="000000"/>
          <w:sz w:val="24"/>
        </w:rPr>
        <w:t>甲方:</w:t>
      </w:r>
      <w:r>
        <w:rPr>
          <w:rFonts w:hint="eastAsia"/>
          <w:b/>
          <w:bCs/>
          <w:color w:val="000000"/>
          <w:sz w:val="24"/>
          <w:szCs w:val="32"/>
        </w:rPr>
        <w:t xml:space="preserve"> </w:t>
      </w:r>
      <w:r>
        <w:rPr>
          <w:b/>
          <w:bCs/>
          <w:color w:val="000000"/>
          <w:sz w:val="24"/>
          <w:szCs w:val="32"/>
        </w:rPr>
        <w:t xml:space="preserve">                             </w:t>
      </w:r>
      <w:r>
        <w:rPr>
          <w:rFonts w:ascii="宋体" w:hAnsi="宋体"/>
          <w:b/>
          <w:iCs/>
          <w:color w:val="000000"/>
          <w:sz w:val="24"/>
        </w:rPr>
        <w:t xml:space="preserve">  </w:t>
      </w:r>
      <w:r>
        <w:rPr>
          <w:rFonts w:hint="eastAsia" w:ascii="宋体" w:hAnsi="宋体"/>
          <w:b/>
          <w:iCs/>
          <w:color w:val="000000"/>
          <w:sz w:val="24"/>
        </w:rPr>
        <w:t xml:space="preserve">      乙方：浙江网经社信息科技有限公司</w:t>
      </w:r>
    </w:p>
    <w:p w14:paraId="72760C0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bCs/>
          <w:color w:val="000000"/>
          <w:sz w:val="24"/>
        </w:rPr>
      </w:pPr>
      <w:r>
        <w:rPr>
          <w:rFonts w:hint="eastAsia" w:ascii="宋体" w:hAnsi="宋体"/>
          <w:bCs/>
          <w:color w:val="000000"/>
          <w:sz w:val="24"/>
        </w:rPr>
        <w:t>授权人签字：</w:t>
      </w:r>
      <w:r>
        <w:rPr>
          <w:rFonts w:hint="eastAsia" w:ascii="宋体" w:hAnsi="宋体"/>
          <w:bCs/>
          <w:color w:val="000000"/>
          <w:sz w:val="24"/>
        </w:rPr>
        <w:tab/>
      </w:r>
      <w:r>
        <w:rPr>
          <w:rFonts w:ascii="宋体" w:hAnsi="宋体"/>
          <w:bCs/>
          <w:color w:val="000000"/>
          <w:sz w:val="24"/>
        </w:rPr>
        <w:t xml:space="preserve">                             </w:t>
      </w:r>
      <w:r>
        <w:rPr>
          <w:rFonts w:hint="eastAsia" w:ascii="宋体" w:hAnsi="宋体"/>
          <w:bCs/>
          <w:color w:val="000000"/>
          <w:sz w:val="24"/>
        </w:rPr>
        <w:t xml:space="preserve">授权人签字： </w:t>
      </w:r>
      <w:bookmarkStart w:id="12" w:name="_GoBack"/>
      <w:bookmarkEnd w:id="12"/>
    </w:p>
    <w:p w14:paraId="3BBE3A1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bCs/>
          <w:color w:val="000000"/>
          <w:sz w:val="24"/>
        </w:rPr>
      </w:pPr>
      <w:r>
        <w:rPr>
          <w:rFonts w:hint="eastAsia" w:ascii="宋体" w:hAnsi="宋体"/>
          <w:bCs/>
          <w:color w:val="000000"/>
          <w:sz w:val="24"/>
        </w:rPr>
        <w:t xml:space="preserve">盖章： </w:t>
      </w:r>
      <w:r>
        <w:rPr>
          <w:rFonts w:ascii="宋体" w:hAnsi="宋体"/>
          <w:bCs/>
          <w:color w:val="000000"/>
          <w:sz w:val="24"/>
        </w:rPr>
        <w:t xml:space="preserve">                                    </w:t>
      </w:r>
      <w:r>
        <w:rPr>
          <w:rFonts w:hint="eastAsia" w:ascii="宋体" w:hAnsi="宋体"/>
          <w:bCs/>
          <w:color w:val="000000"/>
          <w:sz w:val="24"/>
        </w:rPr>
        <w:t>盖章：</w:t>
      </w:r>
    </w:p>
    <w:p w14:paraId="66841EF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bCs/>
          <w:color w:val="000000"/>
          <w:sz w:val="24"/>
        </w:rPr>
      </w:pPr>
      <w:r>
        <w:rPr>
          <w:rFonts w:hint="eastAsia" w:ascii="宋体" w:hAnsi="宋体"/>
          <w:bCs/>
          <w:color w:val="000000"/>
          <w:sz w:val="24"/>
        </w:rPr>
        <w:t xml:space="preserve">时间：   年   月 </w:t>
      </w:r>
      <w:r>
        <w:rPr>
          <w:rFonts w:ascii="宋体" w:hAnsi="宋体"/>
          <w:bCs/>
          <w:color w:val="000000"/>
          <w:sz w:val="24"/>
        </w:rPr>
        <w:t xml:space="preserve"> </w:t>
      </w:r>
      <w:r>
        <w:rPr>
          <w:rFonts w:hint="eastAsia" w:ascii="宋体" w:hAnsi="宋体"/>
          <w:bCs/>
          <w:color w:val="000000"/>
          <w:sz w:val="24"/>
        </w:rPr>
        <w:t xml:space="preserve"> 日</w:t>
      </w:r>
      <w:r>
        <w:rPr>
          <w:rFonts w:hint="eastAsia" w:ascii="宋体" w:hAnsi="宋体"/>
          <w:bCs/>
          <w:color w:val="000000"/>
          <w:sz w:val="24"/>
        </w:rPr>
        <w:tab/>
      </w:r>
      <w:r>
        <w:rPr>
          <w:rFonts w:ascii="宋体" w:hAnsi="宋体"/>
          <w:bCs/>
          <w:color w:val="000000"/>
          <w:sz w:val="24"/>
        </w:rPr>
        <w:t xml:space="preserve">                  </w:t>
      </w:r>
      <w:r>
        <w:rPr>
          <w:rFonts w:hint="eastAsia" w:ascii="宋体" w:hAnsi="宋体"/>
          <w:bCs/>
          <w:color w:val="000000"/>
          <w:sz w:val="24"/>
          <w:lang w:val="en-US" w:eastAsia="zh-CN"/>
        </w:rPr>
        <w:t xml:space="preserve"> </w:t>
      </w:r>
      <w:r>
        <w:rPr>
          <w:rFonts w:hint="eastAsia" w:ascii="宋体" w:hAnsi="宋体"/>
          <w:bCs/>
          <w:color w:val="000000"/>
          <w:sz w:val="24"/>
        </w:rPr>
        <w:t xml:space="preserve">时间：   年 </w:t>
      </w:r>
      <w:r>
        <w:rPr>
          <w:rFonts w:ascii="宋体" w:hAnsi="宋体"/>
          <w:bCs/>
          <w:color w:val="000000"/>
          <w:sz w:val="24"/>
        </w:rPr>
        <w:t xml:space="preserve"> </w:t>
      </w:r>
      <w:r>
        <w:rPr>
          <w:rFonts w:hint="eastAsia" w:ascii="宋体" w:hAnsi="宋体"/>
          <w:bCs/>
          <w:color w:val="000000"/>
          <w:sz w:val="24"/>
        </w:rPr>
        <w:t xml:space="preserve"> 月  </w:t>
      </w:r>
      <w:r>
        <w:rPr>
          <w:rFonts w:ascii="宋体" w:hAnsi="宋体"/>
          <w:bCs/>
          <w:color w:val="000000"/>
          <w:sz w:val="24"/>
        </w:rPr>
        <w:t xml:space="preserve"> </w:t>
      </w:r>
      <w:r>
        <w:rPr>
          <w:rFonts w:hint="eastAsia" w:ascii="宋体" w:hAnsi="宋体"/>
          <w:bCs/>
          <w:color w:val="000000"/>
          <w:sz w:val="24"/>
        </w:rPr>
        <w:t>日</w:t>
      </w:r>
    </w:p>
    <w:sectPr>
      <w:headerReference r:id="rId3" w:type="default"/>
      <w:footerReference r:id="rId4" w:type="default"/>
      <w:footerReference r:id="rId5" w:type="even"/>
      <w:pgSz w:w="11906" w:h="16838"/>
      <w:pgMar w:top="1134" w:right="1134" w:bottom="1134" w:left="1134" w:header="0" w:footer="567"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2010600030101010101"/>
    <w:charset w:val="00"/>
    <w:family w:val="auto"/>
    <w:pitch w:val="default"/>
    <w:sig w:usb0="00000203" w:usb1="288F0000" w:usb2="0000001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7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Light">
    <w:altName w:val="汉仪中等线KW"/>
    <w:panose1 w:val="00000000000000000000"/>
    <w:charset w:val="00"/>
    <w:family w:val="auto"/>
    <w:pitch w:val="default"/>
    <w:sig w:usb0="A00002BF" w:usb1="38CF7CFA" w:usb2="00000016" w:usb3="00000000" w:csb0="0004000F" w:csb1="00000000"/>
  </w:font>
  <w:font w:name="楷体_GB2312">
    <w:altName w:val="汉仪楷体简"/>
    <w:panose1 w:val="02010609030101010101"/>
    <w:charset w:val="00"/>
    <w:family w:val="modern"/>
    <w:pitch w:val="default"/>
    <w:sig w:usb0="00000001" w:usb1="080E0000" w:usb2="00000010" w:usb3="00000000" w:csb0="00040000" w:csb1="00000000"/>
  </w:font>
  <w:font w:name="Arial">
    <w:panose1 w:val="020B0704020202090204"/>
    <w:charset w:val="00"/>
    <w:family w:val="swiss"/>
    <w:pitch w:val="default"/>
    <w:sig w:usb0="E0000AFF" w:usb1="00007843" w:usb2="00000001" w:usb3="00000000" w:csb0="400001BF" w:csb1="DFF70000"/>
  </w:font>
  <w:font w:name="黑体">
    <w:altName w:val="汉仪中黑KW"/>
    <w:panose1 w:val="02010609060101010101"/>
    <w:charset w:val="00"/>
    <w:family w:val="modern"/>
    <w:pitch w:val="default"/>
    <w:sig w:usb0="800002BF" w:usb1="38CF7CFA" w:usb2="00000016" w:usb3="00000000" w:csb0="00040001" w:csb1="00000000"/>
  </w:font>
  <w:font w:name="微软雅黑">
    <w:altName w:val="汉仪旗黑"/>
    <w:panose1 w:val="00000000000000000000"/>
    <w:charset w:val="00"/>
    <w:family w:val="swiss"/>
    <w:pitch w:val="default"/>
    <w:sig w:usb0="80000287" w:usb1="2ACF3C50" w:usb2="00000016" w:usb3="00000000" w:csb0="0004001F" w:csb1="00000000"/>
  </w:font>
  <w:font w:name="方正仿宋简体">
    <w:panose1 w:val="03000509000000000000"/>
    <w:charset w:val="86"/>
    <w:family w:val="auto"/>
    <w:pitch w:val="default"/>
    <w:sig w:usb0="00000001" w:usb1="080E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中等线KW">
    <w:panose1 w:val="01010104010101010101"/>
    <w:charset w:val="86"/>
    <w:family w:val="auto"/>
    <w:pitch w:val="default"/>
    <w:sig w:usb0="800002BF" w:usb1="004F7CFA" w:usb2="00000000" w:usb3="00000000" w:csb0="00040001" w:csb1="00000000"/>
  </w:font>
  <w:font w:name="汉仪楷体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7B6EC">
    <w:pPr>
      <w:pStyle w:val="8"/>
      <w:jc w:val="center"/>
      <w:rPr>
        <w:rFonts w:hint="eastAsia" w:ascii="宋体" w:hAnsi="宋体"/>
        <w:szCs w:val="18"/>
      </w:rPr>
    </w:pPr>
    <w:r>
      <w:rPr>
        <w:rFonts w:hint="eastAsia" w:ascii="宋体" w:hAnsi="宋体"/>
        <w:szCs w:val="18"/>
      </w:rPr>
      <w:t>第</w:t>
    </w:r>
    <w:r>
      <w:rPr>
        <w:rStyle w:val="15"/>
        <w:rFonts w:ascii="宋体" w:hAnsi="宋体"/>
        <w:szCs w:val="18"/>
      </w:rPr>
      <w:fldChar w:fldCharType="begin"/>
    </w:r>
    <w:r>
      <w:rPr>
        <w:rStyle w:val="15"/>
        <w:rFonts w:ascii="宋体" w:hAnsi="宋体"/>
        <w:szCs w:val="18"/>
      </w:rPr>
      <w:instrText xml:space="preserve"> PAGE </w:instrText>
    </w:r>
    <w:r>
      <w:rPr>
        <w:rStyle w:val="15"/>
        <w:rFonts w:ascii="宋体" w:hAnsi="宋体"/>
        <w:szCs w:val="18"/>
      </w:rPr>
      <w:fldChar w:fldCharType="separate"/>
    </w:r>
    <w:r>
      <w:rPr>
        <w:rStyle w:val="15"/>
        <w:rFonts w:ascii="宋体" w:hAnsi="宋体"/>
        <w:szCs w:val="18"/>
        <w:lang/>
      </w:rPr>
      <w:t>4</w:t>
    </w:r>
    <w:r>
      <w:rPr>
        <w:rStyle w:val="15"/>
        <w:rFonts w:ascii="宋体" w:hAnsi="宋体"/>
        <w:szCs w:val="18"/>
      </w:rPr>
      <w:fldChar w:fldCharType="end"/>
    </w:r>
    <w:r>
      <w:rPr>
        <w:rStyle w:val="15"/>
        <w:rFonts w:hint="eastAsia" w:ascii="宋体" w:hAnsi="宋体"/>
        <w:szCs w:val="18"/>
      </w:rPr>
      <w:t>页  共</w:t>
    </w:r>
    <w:r>
      <w:rPr>
        <w:rStyle w:val="15"/>
        <w:rFonts w:ascii="宋体" w:hAnsi="宋体"/>
        <w:szCs w:val="18"/>
      </w:rPr>
      <w:fldChar w:fldCharType="begin"/>
    </w:r>
    <w:r>
      <w:rPr>
        <w:rStyle w:val="15"/>
        <w:rFonts w:ascii="宋体" w:hAnsi="宋体"/>
        <w:szCs w:val="18"/>
      </w:rPr>
      <w:instrText xml:space="preserve"> NUMPAGES </w:instrText>
    </w:r>
    <w:r>
      <w:rPr>
        <w:rStyle w:val="15"/>
        <w:rFonts w:ascii="宋体" w:hAnsi="宋体"/>
        <w:szCs w:val="18"/>
      </w:rPr>
      <w:fldChar w:fldCharType="separate"/>
    </w:r>
    <w:r>
      <w:rPr>
        <w:rStyle w:val="15"/>
        <w:rFonts w:ascii="宋体" w:hAnsi="宋体"/>
        <w:szCs w:val="18"/>
        <w:lang/>
      </w:rPr>
      <w:t>4</w:t>
    </w:r>
    <w:r>
      <w:rPr>
        <w:rStyle w:val="15"/>
        <w:rFonts w:ascii="宋体" w:hAnsi="宋体"/>
        <w:szCs w:val="18"/>
      </w:rPr>
      <w:fldChar w:fldCharType="end"/>
    </w:r>
    <w:r>
      <w:rPr>
        <w:rStyle w:val="15"/>
        <w:rFonts w:hint="eastAsia" w:ascii="宋体" w:hAnsi="宋体"/>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12B9D">
    <w:pPr>
      <w:pStyle w:val="8"/>
      <w:framePr w:wrap="around" w:vAnchor="text" w:hAnchor="margin" w:xAlign="center" w:y="1"/>
      <w:rPr>
        <w:rStyle w:val="15"/>
      </w:rPr>
    </w:pPr>
    <w:r>
      <w:rPr>
        <w:rStyle w:val="15"/>
      </w:rPr>
      <w:fldChar w:fldCharType="begin"/>
    </w:r>
    <w:r>
      <w:rPr>
        <w:rStyle w:val="15"/>
      </w:rPr>
      <w:instrText xml:space="preserve">PAGE  </w:instrText>
    </w:r>
    <w:r>
      <w:rPr>
        <w:rStyle w:val="15"/>
      </w:rPr>
      <w:fldChar w:fldCharType="end"/>
    </w:r>
  </w:p>
  <w:p w14:paraId="44D7FE5B">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995F2">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"http://100ec.cn/Public/home/images/wjs/wjsLOGO.png"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mc:AlternateContent>
        <mc:Choice Requires="wps">
          <w:drawing>
            <wp:inline distT="0" distB="0" distL="114300" distR="114300">
              <wp:extent cx="304800" cy="304800"/>
              <wp:effectExtent l="0" t="0" r="0" b="0"/>
              <wp:docPr id="1" name="图片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4800" cy="304800"/>
                      </a:xfrm>
                      <a:prstGeom prst="rect">
                        <a:avLst/>
                      </a:prstGeom>
                      <a:noFill/>
                      <a:ln>
                        <a:noFill/>
                      </a:ln>
                    </wps:spPr>
                    <wps:bodyPr wrap="square" upright="1"/>
                  </wps:wsp>
                </a:graphicData>
              </a:graphic>
            </wp:inline>
          </w:drawing>
        </mc:Choice>
        <mc:Fallback>
          <w:pict>
            <v:rect id="图片 1" o:spid="_x0000_s1026" o:spt="1"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8yW&#10;dNIAAAADAQAADwAAAAAAAAABACAAAAAiAAAAZHJzL2Rvd25yZXYueG1sUEsBAhQAFAAAAAgAh07i&#10;QGHA2yW2AQAAbwMAAA4AAAAAAAAAAQAgAAAAIQEAAGRycy9lMm9Eb2MueG1sUEsFBgAAAAAGAAYA&#10;WQEAAEkFAAAAAA==&#10;">
              <v:fill on="f" focussize="0,0"/>
              <v:stroke on="f"/>
              <v:imagedata o:title=""/>
              <o:lock v:ext="edit" aspectratio="t"/>
              <w10:wrap type="none"/>
              <w10:anchorlock/>
            </v:rect>
          </w:pict>
        </mc:Fallback>
      </mc:AlternateContent>
    </w:r>
    <w:r>
      <w:rPr>
        <w:rFonts w:ascii="宋体" w:hAnsi="宋体" w:eastAsia="宋体" w:cs="宋体"/>
        <w:kern w:val="0"/>
        <w:sz w:val="24"/>
        <w:szCs w:val="24"/>
        <w:lang w:val="en-US" w:eastAsia="zh-CN" w:bidi="ar"/>
      </w:rPr>
      <w:fldChar w:fldCharType="end"/>
    </w:r>
  </w:p>
  <w:p w14:paraId="223FC66B">
    <w:pPr>
      <w:pStyle w:val="9"/>
      <w:pBdr>
        <w:bottom w:val="none" w:color="auto" w:sz="0" w:space="0"/>
      </w:pBdr>
      <w:ind w:right="560"/>
      <w:jc w:val="both"/>
      <w:rPr>
        <w:rFonts w:hint="eastAsia" w:eastAsia="黑体"/>
        <w:b/>
        <w:sz w:val="28"/>
      </w:rPr>
    </w:pPr>
    <w:r>
      <w:drawing>
        <wp:inline distT="0" distB="0" distL="114300" distR="114300">
          <wp:extent cx="1527175" cy="555625"/>
          <wp:effectExtent l="0" t="0" r="22225" b="317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
                  <a:stretch>
                    <a:fillRect/>
                  </a:stretch>
                </pic:blipFill>
                <pic:spPr>
                  <a:xfrm>
                    <a:off x="0" y="0"/>
                    <a:ext cx="1527175" cy="555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90490C"/>
    <w:multiLevelType w:val="multilevel"/>
    <w:tmpl w:val="3490490C"/>
    <w:lvl w:ilvl="0" w:tentative="0">
      <w:start w:val="1"/>
      <w:numFmt w:val="decimal"/>
      <w:pStyle w:val="24"/>
      <w:lvlText w:val="%1、"/>
      <w:lvlJc w:val="left"/>
      <w:pPr>
        <w:tabs>
          <w:tab w:val="left" w:pos="720"/>
        </w:tabs>
        <w:ind w:left="720" w:hanging="720"/>
      </w:pPr>
      <w:rPr>
        <w:rFonts w:hint="eastAsia"/>
      </w:rPr>
    </w:lvl>
    <w:lvl w:ilvl="1" w:tentative="0">
      <w:start w:val="1"/>
      <w:numFmt w:val="decimal"/>
      <w:pStyle w:val="23"/>
      <w:lvlText w:val="1.%2"/>
      <w:lvlJc w:val="left"/>
      <w:pPr>
        <w:tabs>
          <w:tab w:val="left" w:pos="840"/>
        </w:tabs>
        <w:ind w:left="840" w:hanging="420"/>
      </w:pPr>
      <w:rPr>
        <w:rFonts w:hint="eastAsia"/>
        <w:b w:val="0"/>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CC62B38"/>
    <w:multiLevelType w:val="multilevel"/>
    <w:tmpl w:val="3CC62B38"/>
    <w:lvl w:ilvl="0" w:tentative="0">
      <w:start w:val="3"/>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53E"/>
    <w:rsid w:val="000005F2"/>
    <w:rsid w:val="00000A18"/>
    <w:rsid w:val="00000A58"/>
    <w:rsid w:val="00002758"/>
    <w:rsid w:val="0001086F"/>
    <w:rsid w:val="00017F6B"/>
    <w:rsid w:val="0002270A"/>
    <w:rsid w:val="00024BAC"/>
    <w:rsid w:val="00032F1F"/>
    <w:rsid w:val="00037550"/>
    <w:rsid w:val="000412E5"/>
    <w:rsid w:val="00050A04"/>
    <w:rsid w:val="000521E9"/>
    <w:rsid w:val="0005439A"/>
    <w:rsid w:val="00086CBC"/>
    <w:rsid w:val="000B157E"/>
    <w:rsid w:val="000B2CF4"/>
    <w:rsid w:val="000B541F"/>
    <w:rsid w:val="000F3903"/>
    <w:rsid w:val="000F53C1"/>
    <w:rsid w:val="0010582D"/>
    <w:rsid w:val="00110F3C"/>
    <w:rsid w:val="00113DBC"/>
    <w:rsid w:val="00115F87"/>
    <w:rsid w:val="00135A02"/>
    <w:rsid w:val="00164FE0"/>
    <w:rsid w:val="00167F2C"/>
    <w:rsid w:val="00193EE4"/>
    <w:rsid w:val="001A2F15"/>
    <w:rsid w:val="001A65E0"/>
    <w:rsid w:val="001B6A97"/>
    <w:rsid w:val="001C1704"/>
    <w:rsid w:val="001D7E76"/>
    <w:rsid w:val="001E1BFE"/>
    <w:rsid w:val="001E3C88"/>
    <w:rsid w:val="001E45A1"/>
    <w:rsid w:val="001F0289"/>
    <w:rsid w:val="0020000E"/>
    <w:rsid w:val="0020070D"/>
    <w:rsid w:val="00207461"/>
    <w:rsid w:val="002133B4"/>
    <w:rsid w:val="002209AC"/>
    <w:rsid w:val="002209E9"/>
    <w:rsid w:val="00225F6C"/>
    <w:rsid w:val="00226FA7"/>
    <w:rsid w:val="00232120"/>
    <w:rsid w:val="0023455C"/>
    <w:rsid w:val="0023568C"/>
    <w:rsid w:val="00241D9B"/>
    <w:rsid w:val="00252129"/>
    <w:rsid w:val="00252293"/>
    <w:rsid w:val="002628DB"/>
    <w:rsid w:val="002844C0"/>
    <w:rsid w:val="00287755"/>
    <w:rsid w:val="0029153E"/>
    <w:rsid w:val="00291574"/>
    <w:rsid w:val="002B33DF"/>
    <w:rsid w:val="002B5F22"/>
    <w:rsid w:val="002C4AC9"/>
    <w:rsid w:val="002D199C"/>
    <w:rsid w:val="002D465D"/>
    <w:rsid w:val="002E205F"/>
    <w:rsid w:val="00305E83"/>
    <w:rsid w:val="00306F7F"/>
    <w:rsid w:val="00307FD9"/>
    <w:rsid w:val="003202DF"/>
    <w:rsid w:val="00332D17"/>
    <w:rsid w:val="00345A11"/>
    <w:rsid w:val="00353182"/>
    <w:rsid w:val="003645DB"/>
    <w:rsid w:val="00367D23"/>
    <w:rsid w:val="00367E81"/>
    <w:rsid w:val="0037048A"/>
    <w:rsid w:val="00376E31"/>
    <w:rsid w:val="0038014A"/>
    <w:rsid w:val="00381D5B"/>
    <w:rsid w:val="00382969"/>
    <w:rsid w:val="00394E59"/>
    <w:rsid w:val="003B0464"/>
    <w:rsid w:val="003B56AF"/>
    <w:rsid w:val="003C1BC1"/>
    <w:rsid w:val="003D3BBE"/>
    <w:rsid w:val="003D7878"/>
    <w:rsid w:val="003F4610"/>
    <w:rsid w:val="003F5403"/>
    <w:rsid w:val="003F61AE"/>
    <w:rsid w:val="00407F6F"/>
    <w:rsid w:val="00412D64"/>
    <w:rsid w:val="004310D7"/>
    <w:rsid w:val="00446954"/>
    <w:rsid w:val="00450D36"/>
    <w:rsid w:val="004517F0"/>
    <w:rsid w:val="004541DC"/>
    <w:rsid w:val="004548C7"/>
    <w:rsid w:val="004573F2"/>
    <w:rsid w:val="004600E6"/>
    <w:rsid w:val="00462E28"/>
    <w:rsid w:val="00463E5B"/>
    <w:rsid w:val="00473259"/>
    <w:rsid w:val="00480A7D"/>
    <w:rsid w:val="0049447E"/>
    <w:rsid w:val="004B0662"/>
    <w:rsid w:val="004B0A12"/>
    <w:rsid w:val="004C10F1"/>
    <w:rsid w:val="004C1157"/>
    <w:rsid w:val="004C6AAE"/>
    <w:rsid w:val="004D3683"/>
    <w:rsid w:val="004D68F3"/>
    <w:rsid w:val="004F3366"/>
    <w:rsid w:val="00500434"/>
    <w:rsid w:val="005100F7"/>
    <w:rsid w:val="00511D25"/>
    <w:rsid w:val="00512EF0"/>
    <w:rsid w:val="00514F8B"/>
    <w:rsid w:val="00524BFC"/>
    <w:rsid w:val="00524F98"/>
    <w:rsid w:val="005328E2"/>
    <w:rsid w:val="00553D1B"/>
    <w:rsid w:val="005574C2"/>
    <w:rsid w:val="00562C1C"/>
    <w:rsid w:val="005670FA"/>
    <w:rsid w:val="00577DFC"/>
    <w:rsid w:val="005803AC"/>
    <w:rsid w:val="005905DF"/>
    <w:rsid w:val="0059379F"/>
    <w:rsid w:val="005B72E7"/>
    <w:rsid w:val="005C2425"/>
    <w:rsid w:val="005C37DF"/>
    <w:rsid w:val="005C50EB"/>
    <w:rsid w:val="005D22EF"/>
    <w:rsid w:val="005D329B"/>
    <w:rsid w:val="005E2C62"/>
    <w:rsid w:val="005F2662"/>
    <w:rsid w:val="0060769D"/>
    <w:rsid w:val="00613096"/>
    <w:rsid w:val="00624331"/>
    <w:rsid w:val="006409FF"/>
    <w:rsid w:val="00663422"/>
    <w:rsid w:val="00664338"/>
    <w:rsid w:val="00672879"/>
    <w:rsid w:val="0067780D"/>
    <w:rsid w:val="00684142"/>
    <w:rsid w:val="006A7A08"/>
    <w:rsid w:val="006B4075"/>
    <w:rsid w:val="006D7D59"/>
    <w:rsid w:val="00703EDA"/>
    <w:rsid w:val="0072607F"/>
    <w:rsid w:val="007276A0"/>
    <w:rsid w:val="00742662"/>
    <w:rsid w:val="00744F5E"/>
    <w:rsid w:val="00751E88"/>
    <w:rsid w:val="007522D8"/>
    <w:rsid w:val="0076032D"/>
    <w:rsid w:val="0078459C"/>
    <w:rsid w:val="007B31BC"/>
    <w:rsid w:val="007B36F7"/>
    <w:rsid w:val="007B61C3"/>
    <w:rsid w:val="007C38FD"/>
    <w:rsid w:val="007C71CA"/>
    <w:rsid w:val="007D33EE"/>
    <w:rsid w:val="007D5250"/>
    <w:rsid w:val="007D6F89"/>
    <w:rsid w:val="007E0BC7"/>
    <w:rsid w:val="007E5AFB"/>
    <w:rsid w:val="007F3B52"/>
    <w:rsid w:val="007F7B51"/>
    <w:rsid w:val="008064D9"/>
    <w:rsid w:val="00813212"/>
    <w:rsid w:val="0081706B"/>
    <w:rsid w:val="00822290"/>
    <w:rsid w:val="00822D7E"/>
    <w:rsid w:val="00832128"/>
    <w:rsid w:val="00840151"/>
    <w:rsid w:val="00841EDD"/>
    <w:rsid w:val="0085572B"/>
    <w:rsid w:val="00857DAF"/>
    <w:rsid w:val="00862BB1"/>
    <w:rsid w:val="008642CC"/>
    <w:rsid w:val="0087708F"/>
    <w:rsid w:val="0087720E"/>
    <w:rsid w:val="00881623"/>
    <w:rsid w:val="0088712F"/>
    <w:rsid w:val="00890BEE"/>
    <w:rsid w:val="008A21FE"/>
    <w:rsid w:val="008B0DEE"/>
    <w:rsid w:val="008C041C"/>
    <w:rsid w:val="008C3AD7"/>
    <w:rsid w:val="008D197E"/>
    <w:rsid w:val="008D1A7A"/>
    <w:rsid w:val="008D4C0C"/>
    <w:rsid w:val="008F05E9"/>
    <w:rsid w:val="009048E2"/>
    <w:rsid w:val="0093006C"/>
    <w:rsid w:val="009309E4"/>
    <w:rsid w:val="00931604"/>
    <w:rsid w:val="00941720"/>
    <w:rsid w:val="00943715"/>
    <w:rsid w:val="0094503B"/>
    <w:rsid w:val="00955446"/>
    <w:rsid w:val="00957073"/>
    <w:rsid w:val="00957FC7"/>
    <w:rsid w:val="0097260F"/>
    <w:rsid w:val="009906C4"/>
    <w:rsid w:val="009A25FE"/>
    <w:rsid w:val="009A60C0"/>
    <w:rsid w:val="009B2F67"/>
    <w:rsid w:val="009B4C5C"/>
    <w:rsid w:val="009B5E33"/>
    <w:rsid w:val="009C30AB"/>
    <w:rsid w:val="009D5CEA"/>
    <w:rsid w:val="009E6419"/>
    <w:rsid w:val="009F238E"/>
    <w:rsid w:val="009F39FB"/>
    <w:rsid w:val="009F3FBE"/>
    <w:rsid w:val="009F5B1E"/>
    <w:rsid w:val="009F6F16"/>
    <w:rsid w:val="00A10277"/>
    <w:rsid w:val="00A10AE3"/>
    <w:rsid w:val="00A20FF2"/>
    <w:rsid w:val="00A356A5"/>
    <w:rsid w:val="00A405E1"/>
    <w:rsid w:val="00A47F6A"/>
    <w:rsid w:val="00A51AFC"/>
    <w:rsid w:val="00A570FB"/>
    <w:rsid w:val="00A67EFA"/>
    <w:rsid w:val="00A7228B"/>
    <w:rsid w:val="00A75E91"/>
    <w:rsid w:val="00A90757"/>
    <w:rsid w:val="00AA2F73"/>
    <w:rsid w:val="00AB000A"/>
    <w:rsid w:val="00AB3A50"/>
    <w:rsid w:val="00AC3005"/>
    <w:rsid w:val="00AC4BDD"/>
    <w:rsid w:val="00AC707F"/>
    <w:rsid w:val="00AD53E1"/>
    <w:rsid w:val="00B0364D"/>
    <w:rsid w:val="00B11BC3"/>
    <w:rsid w:val="00B30381"/>
    <w:rsid w:val="00B335CB"/>
    <w:rsid w:val="00B4386B"/>
    <w:rsid w:val="00B45FD8"/>
    <w:rsid w:val="00B6064D"/>
    <w:rsid w:val="00B60EAF"/>
    <w:rsid w:val="00B6164A"/>
    <w:rsid w:val="00B642B8"/>
    <w:rsid w:val="00B83ECF"/>
    <w:rsid w:val="00B8652F"/>
    <w:rsid w:val="00B947E9"/>
    <w:rsid w:val="00B94C83"/>
    <w:rsid w:val="00BA21C5"/>
    <w:rsid w:val="00BA26A0"/>
    <w:rsid w:val="00BB34C8"/>
    <w:rsid w:val="00BB481E"/>
    <w:rsid w:val="00BC74C3"/>
    <w:rsid w:val="00BC7D21"/>
    <w:rsid w:val="00BD51C3"/>
    <w:rsid w:val="00BD6617"/>
    <w:rsid w:val="00BE7636"/>
    <w:rsid w:val="00BE7CA5"/>
    <w:rsid w:val="00BF0F54"/>
    <w:rsid w:val="00BF32D5"/>
    <w:rsid w:val="00C07E6A"/>
    <w:rsid w:val="00C542E7"/>
    <w:rsid w:val="00C67D65"/>
    <w:rsid w:val="00C72112"/>
    <w:rsid w:val="00C72B25"/>
    <w:rsid w:val="00C809C1"/>
    <w:rsid w:val="00C8304F"/>
    <w:rsid w:val="00C95D88"/>
    <w:rsid w:val="00CB3F84"/>
    <w:rsid w:val="00CB7C61"/>
    <w:rsid w:val="00CC4E68"/>
    <w:rsid w:val="00CC7D62"/>
    <w:rsid w:val="00CE4C34"/>
    <w:rsid w:val="00CF35CE"/>
    <w:rsid w:val="00CF3811"/>
    <w:rsid w:val="00D0279C"/>
    <w:rsid w:val="00D0350F"/>
    <w:rsid w:val="00D14976"/>
    <w:rsid w:val="00D20EDB"/>
    <w:rsid w:val="00D43AB5"/>
    <w:rsid w:val="00D612C5"/>
    <w:rsid w:val="00D67C67"/>
    <w:rsid w:val="00D8617B"/>
    <w:rsid w:val="00D8642A"/>
    <w:rsid w:val="00D87234"/>
    <w:rsid w:val="00DB2918"/>
    <w:rsid w:val="00DD61F1"/>
    <w:rsid w:val="00DE6CC9"/>
    <w:rsid w:val="00DF7F4E"/>
    <w:rsid w:val="00E04A6C"/>
    <w:rsid w:val="00E04BA4"/>
    <w:rsid w:val="00E05A4D"/>
    <w:rsid w:val="00E1028F"/>
    <w:rsid w:val="00E13D7F"/>
    <w:rsid w:val="00E33B3F"/>
    <w:rsid w:val="00E4021B"/>
    <w:rsid w:val="00E51472"/>
    <w:rsid w:val="00E53C26"/>
    <w:rsid w:val="00E65F12"/>
    <w:rsid w:val="00E7184D"/>
    <w:rsid w:val="00E724CE"/>
    <w:rsid w:val="00E7257F"/>
    <w:rsid w:val="00E75AF8"/>
    <w:rsid w:val="00EC3E66"/>
    <w:rsid w:val="00EC4FA4"/>
    <w:rsid w:val="00EC54B4"/>
    <w:rsid w:val="00ED0933"/>
    <w:rsid w:val="00ED27A3"/>
    <w:rsid w:val="00ED4D53"/>
    <w:rsid w:val="00ED6D8A"/>
    <w:rsid w:val="00EE2B2A"/>
    <w:rsid w:val="00EE3726"/>
    <w:rsid w:val="00EF4C0F"/>
    <w:rsid w:val="00F02AB1"/>
    <w:rsid w:val="00F03594"/>
    <w:rsid w:val="00F07E10"/>
    <w:rsid w:val="00F451E4"/>
    <w:rsid w:val="00F5564F"/>
    <w:rsid w:val="00F57551"/>
    <w:rsid w:val="00F6358E"/>
    <w:rsid w:val="00F9575D"/>
    <w:rsid w:val="00FA5998"/>
    <w:rsid w:val="00FB2540"/>
    <w:rsid w:val="00FC3107"/>
    <w:rsid w:val="00FC5701"/>
    <w:rsid w:val="00FC626C"/>
    <w:rsid w:val="00FD2A8B"/>
    <w:rsid w:val="00FD7B7E"/>
    <w:rsid w:val="00FE6FA9"/>
    <w:rsid w:val="00FF0F48"/>
    <w:rsid w:val="00FF35F1"/>
    <w:rsid w:val="070A0A21"/>
    <w:rsid w:val="08410874"/>
    <w:rsid w:val="09093579"/>
    <w:rsid w:val="09104908"/>
    <w:rsid w:val="0A5D334F"/>
    <w:rsid w:val="17157868"/>
    <w:rsid w:val="17EE4066"/>
    <w:rsid w:val="1A3716DA"/>
    <w:rsid w:val="1CF739BD"/>
    <w:rsid w:val="1DAB6BBC"/>
    <w:rsid w:val="1E5700F7"/>
    <w:rsid w:val="1EBA1146"/>
    <w:rsid w:val="1ECC70CB"/>
    <w:rsid w:val="1FBF6E57"/>
    <w:rsid w:val="21414BB7"/>
    <w:rsid w:val="22325497"/>
    <w:rsid w:val="239161EE"/>
    <w:rsid w:val="25F413E1"/>
    <w:rsid w:val="2A4144C9"/>
    <w:rsid w:val="2A834AE2"/>
    <w:rsid w:val="2BB4516F"/>
    <w:rsid w:val="2DAC4350"/>
    <w:rsid w:val="2F4A3E20"/>
    <w:rsid w:val="32904240"/>
    <w:rsid w:val="33D62126"/>
    <w:rsid w:val="35E30B2B"/>
    <w:rsid w:val="361F6B5B"/>
    <w:rsid w:val="36D3294D"/>
    <w:rsid w:val="38954634"/>
    <w:rsid w:val="3A1E0383"/>
    <w:rsid w:val="3C30439E"/>
    <w:rsid w:val="3C5E53AF"/>
    <w:rsid w:val="3E575ACD"/>
    <w:rsid w:val="3E5B051C"/>
    <w:rsid w:val="3EA417DF"/>
    <w:rsid w:val="43A713E9"/>
    <w:rsid w:val="45F82D4E"/>
    <w:rsid w:val="48CF15CB"/>
    <w:rsid w:val="4A0F2683"/>
    <w:rsid w:val="4DE834D2"/>
    <w:rsid w:val="4F55619D"/>
    <w:rsid w:val="4FA64C4B"/>
    <w:rsid w:val="4FFB56DB"/>
    <w:rsid w:val="4FFE77E8"/>
    <w:rsid w:val="51E63A18"/>
    <w:rsid w:val="54C653BA"/>
    <w:rsid w:val="56101070"/>
    <w:rsid w:val="56F20776"/>
    <w:rsid w:val="5AF30727"/>
    <w:rsid w:val="5AF50835"/>
    <w:rsid w:val="5F370F8E"/>
    <w:rsid w:val="607641C6"/>
    <w:rsid w:val="63E54C70"/>
    <w:rsid w:val="677B47B7"/>
    <w:rsid w:val="6AC81AC2"/>
    <w:rsid w:val="6BEF98E3"/>
    <w:rsid w:val="6C79275C"/>
    <w:rsid w:val="6D0B19EF"/>
    <w:rsid w:val="71235CA4"/>
    <w:rsid w:val="72FC0C01"/>
    <w:rsid w:val="732B52E4"/>
    <w:rsid w:val="73E3171A"/>
    <w:rsid w:val="751E51E9"/>
    <w:rsid w:val="772F360D"/>
    <w:rsid w:val="77400C32"/>
    <w:rsid w:val="78000306"/>
    <w:rsid w:val="7D7AC9C7"/>
    <w:rsid w:val="7F565496"/>
    <w:rsid w:val="7FEC0371"/>
    <w:rsid w:val="97CAFB36"/>
    <w:rsid w:val="F36BC4CA"/>
    <w:rsid w:val="F7FF911B"/>
    <w:rsid w:val="FF7E8BF2"/>
    <w:rsid w:val="FF7F6E0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1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9"/>
    <w:unhideWhenUsed/>
    <w:qFormat/>
    <w:uiPriority w:val="0"/>
    <w:pPr>
      <w:keepNext/>
      <w:keepLines/>
      <w:spacing w:before="260" w:after="260" w:line="416" w:lineRule="auto"/>
      <w:outlineLvl w:val="1"/>
    </w:pPr>
    <w:rPr>
      <w:rFonts w:ascii="等线 Light" w:hAnsi="等线 Light" w:eastAsia="等线 Light" w:cs="Times New Roman"/>
      <w:b/>
      <w:bCs/>
      <w:sz w:val="32"/>
      <w:szCs w:val="32"/>
    </w:rPr>
  </w:style>
  <w:style w:type="paragraph" w:styleId="4">
    <w:name w:val="heading 3"/>
    <w:basedOn w:val="1"/>
    <w:next w:val="1"/>
    <w:link w:val="20"/>
    <w:unhideWhenUsed/>
    <w:qFormat/>
    <w:uiPriority w:val="0"/>
    <w:pPr>
      <w:keepNext/>
      <w:keepLines/>
      <w:spacing w:before="260" w:after="260" w:line="416" w:lineRule="auto"/>
      <w:outlineLvl w:val="2"/>
    </w:pPr>
    <w:rPr>
      <w:b/>
      <w:bCs/>
      <w:sz w:val="32"/>
      <w:szCs w:val="32"/>
    </w:rPr>
  </w:style>
  <w:style w:type="character" w:default="1" w:styleId="13">
    <w:name w:val="Default Paragraph Font"/>
    <w:semiHidden/>
    <w:uiPriority w:val="0"/>
  </w:style>
  <w:style w:type="table" w:default="1" w:styleId="11">
    <w:name w:val="Normal Table"/>
    <w:semiHidden/>
    <w:uiPriority w:val="0"/>
    <w:tblPr>
      <w:tblStyle w:val="11"/>
      <w:tblCellMar>
        <w:top w:w="0" w:type="dxa"/>
        <w:left w:w="108" w:type="dxa"/>
        <w:bottom w:w="0" w:type="dxa"/>
        <w:right w:w="108" w:type="dxa"/>
      </w:tblCellMar>
    </w:tblPr>
  </w:style>
  <w:style w:type="paragraph" w:styleId="5">
    <w:name w:val="annotation text"/>
    <w:basedOn w:val="1"/>
    <w:link w:val="21"/>
    <w:unhideWhenUsed/>
    <w:uiPriority w:val="99"/>
    <w:pPr>
      <w:jc w:val="left"/>
    </w:pPr>
  </w:style>
  <w:style w:type="paragraph" w:styleId="6">
    <w:name w:val="Date"/>
    <w:basedOn w:val="1"/>
    <w:next w:val="1"/>
    <w:link w:val="22"/>
    <w:uiPriority w:val="0"/>
    <w:pPr>
      <w:ind w:left="100" w:leftChars="2500"/>
    </w:pPr>
  </w:style>
  <w:style w:type="paragraph" w:styleId="7">
    <w:name w:val="Balloon Text"/>
    <w:basedOn w:val="1"/>
    <w:semiHidden/>
    <w:uiPriority w:val="0"/>
    <w:rPr>
      <w:sz w:val="18"/>
      <w:szCs w:val="18"/>
    </w:rPr>
  </w:style>
  <w:style w:type="paragraph" w:styleId="8">
    <w:name w:val="footer"/>
    <w:basedOn w:val="1"/>
    <w:uiPriority w:val="0"/>
    <w:pPr>
      <w:tabs>
        <w:tab w:val="center" w:pos="4153"/>
        <w:tab w:val="right" w:pos="8306"/>
      </w:tabs>
      <w:snapToGrid w:val="0"/>
      <w:jc w:val="left"/>
    </w:pPr>
    <w:rPr>
      <w:sz w:val="18"/>
      <w:szCs w:val="20"/>
    </w:rPr>
  </w:style>
  <w:style w:type="paragraph" w:styleId="9">
    <w:name w:val="header"/>
    <w:basedOn w:val="1"/>
    <w:uiPriority w:val="0"/>
    <w:pPr>
      <w:pBdr>
        <w:bottom w:val="single" w:color="auto" w:sz="6" w:space="1"/>
      </w:pBdr>
      <w:tabs>
        <w:tab w:val="center" w:pos="4153"/>
        <w:tab w:val="right" w:pos="8306"/>
      </w:tabs>
      <w:snapToGrid w:val="0"/>
      <w:jc w:val="center"/>
    </w:pPr>
    <w:rPr>
      <w:sz w:val="18"/>
      <w:szCs w:val="20"/>
    </w:rPr>
  </w:style>
  <w:style w:type="paragraph" w:styleId="10">
    <w:name w:val="Normal (Web)"/>
    <w:basedOn w:val="1"/>
    <w:unhideWhenUsed/>
    <w:uiPriority w:val="99"/>
    <w:pPr>
      <w:widowControl/>
      <w:spacing w:before="100" w:beforeAutospacing="1" w:after="100" w:afterAutospacing="1"/>
      <w:jc w:val="left"/>
    </w:pPr>
    <w:rPr>
      <w:rFonts w:ascii="宋体" w:hAnsi="宋体" w:cs="宋体"/>
      <w:kern w:val="0"/>
      <w:sz w:val="24"/>
    </w:rPr>
  </w:style>
  <w:style w:type="table" w:styleId="12">
    <w:name w:val="Table Grid"/>
    <w:basedOn w:val="11"/>
    <w:uiPriority w:val="0"/>
    <w:tblPr>
      <w:tblStyle w:val="11"/>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
    <w:name w:val="Strong"/>
    <w:qFormat/>
    <w:uiPriority w:val="22"/>
    <w:rPr>
      <w:b/>
      <w:bCs/>
    </w:rPr>
  </w:style>
  <w:style w:type="character" w:styleId="15">
    <w:name w:val="page number"/>
    <w:uiPriority w:val="0"/>
  </w:style>
  <w:style w:type="character" w:styleId="16">
    <w:name w:val="Hyperlink"/>
    <w:unhideWhenUsed/>
    <w:uiPriority w:val="99"/>
    <w:rPr>
      <w:color w:val="0000FF"/>
      <w:u w:val="single"/>
    </w:rPr>
  </w:style>
  <w:style w:type="character" w:styleId="17">
    <w:name w:val="annotation reference"/>
    <w:unhideWhenUsed/>
    <w:uiPriority w:val="99"/>
    <w:rPr>
      <w:sz w:val="21"/>
      <w:szCs w:val="21"/>
    </w:rPr>
  </w:style>
  <w:style w:type="character" w:customStyle="1" w:styleId="18">
    <w:name w:val="标题 1 字符"/>
    <w:link w:val="2"/>
    <w:uiPriority w:val="0"/>
    <w:rPr>
      <w:b/>
      <w:bCs/>
      <w:kern w:val="44"/>
      <w:sz w:val="44"/>
      <w:szCs w:val="44"/>
    </w:rPr>
  </w:style>
  <w:style w:type="character" w:customStyle="1" w:styleId="19">
    <w:name w:val="标题 2 字符"/>
    <w:link w:val="3"/>
    <w:semiHidden/>
    <w:uiPriority w:val="0"/>
    <w:rPr>
      <w:rFonts w:ascii="等线 Light" w:hAnsi="等线 Light" w:eastAsia="等线 Light" w:cs="Times New Roman"/>
      <w:b/>
      <w:bCs/>
      <w:kern w:val="2"/>
      <w:sz w:val="32"/>
      <w:szCs w:val="32"/>
    </w:rPr>
  </w:style>
  <w:style w:type="character" w:customStyle="1" w:styleId="20">
    <w:name w:val="标题 3 字符"/>
    <w:link w:val="4"/>
    <w:semiHidden/>
    <w:uiPriority w:val="0"/>
    <w:rPr>
      <w:b/>
      <w:bCs/>
      <w:kern w:val="2"/>
      <w:sz w:val="32"/>
      <w:szCs w:val="32"/>
    </w:rPr>
  </w:style>
  <w:style w:type="character" w:customStyle="1" w:styleId="21">
    <w:name w:val="批注文字 字符"/>
    <w:link w:val="5"/>
    <w:uiPriority w:val="99"/>
    <w:rPr>
      <w:kern w:val="2"/>
      <w:sz w:val="21"/>
      <w:szCs w:val="24"/>
    </w:rPr>
  </w:style>
  <w:style w:type="character" w:customStyle="1" w:styleId="22">
    <w:name w:val="日期 字符"/>
    <w:link w:val="6"/>
    <w:uiPriority w:val="0"/>
    <w:rPr>
      <w:kern w:val="2"/>
      <w:sz w:val="21"/>
      <w:szCs w:val="24"/>
    </w:rPr>
  </w:style>
  <w:style w:type="paragraph" w:customStyle="1" w:styleId="23">
    <w:name w:val="合同条款2"/>
    <w:basedOn w:val="1"/>
    <w:uiPriority w:val="0"/>
    <w:pPr>
      <w:numPr>
        <w:ilvl w:val="1"/>
        <w:numId w:val="1"/>
      </w:numPr>
      <w:tabs>
        <w:tab w:val="left" w:pos="567"/>
      </w:tabs>
    </w:pPr>
    <w:rPr>
      <w:rFonts w:ascii="楷体_GB2312" w:hAnsi="Arial" w:eastAsia="楷体_GB2312"/>
      <w:color w:val="000000"/>
      <w:szCs w:val="20"/>
    </w:rPr>
  </w:style>
  <w:style w:type="paragraph" w:customStyle="1" w:styleId="24">
    <w:name w:val="合同条款1"/>
    <w:basedOn w:val="1"/>
    <w:uiPriority w:val="0"/>
    <w:pPr>
      <w:numPr>
        <w:ilvl w:val="0"/>
        <w:numId w:val="1"/>
      </w:numPr>
      <w:tabs>
        <w:tab w:val="left" w:pos="567"/>
      </w:tabs>
      <w:spacing w:after="240"/>
      <w:outlineLvl w:val="0"/>
    </w:pPr>
    <w:rPr>
      <w:rFonts w:ascii="黑体" w:eastAsia="黑体"/>
      <w:b/>
      <w:szCs w:val="20"/>
    </w:rPr>
  </w:style>
  <w:style w:type="character" w:customStyle="1" w:styleId="25">
    <w:name w:val="apple-converted-space"/>
    <w:uiPriority w:val="0"/>
  </w:style>
  <w:style w:type="character" w:styleId="26">
    <w:name w:val=""/>
    <w:unhideWhenUsed/>
    <w:uiPriority w:val="99"/>
    <w:rPr>
      <w:color w:val="605E5C"/>
      <w:shd w:val="clear" w:color="auto" w:fill="E1DFDD"/>
    </w:rPr>
  </w:style>
  <w:style w:type="character" w:customStyle="1" w:styleId="27">
    <w:name w:val="qk-md-text"/>
    <w:basedOn w:val="13"/>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微软系统</Company>
  <Pages>10</Pages>
  <Words>1070</Words>
  <Characters>6102</Characters>
  <Lines>50</Lines>
  <Paragraphs>14</Paragraphs>
  <TotalTime>15</TotalTime>
  <ScaleCrop>false</ScaleCrop>
  <LinksUpToDate>false</LinksUpToDate>
  <CharactersWithSpaces>7158</CharactersWithSpaces>
  <Application>WPS Office_12.1.26055.26055_F1E327BC-269C-435d-A152-05C5408002CA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2026-08-14T10:09:00Z</dcterms:created>
  <dc:creator>微软用户</dc:creator>
  <cp:lastModifiedBy>谢饭三</cp:lastModifiedBy>
  <cp:lastPrinted>2011-02-19T05:23:00Z</cp:lastPrinted>
  <dcterms:modified xsi:type="dcterms:W3CDTF">2026-09-06T19:25:46Z</dcterms:modified>
  <dc:title>广告发布合同</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7454FA4AFA0C686FBA4D9D6A0C287980_43</vt:lpwstr>
  </property>
  <property fmtid="{D5CDD505-2E9C-101B-9397-08002B2CF9AE}" pid="4" name="KSOTemplateDocerSaveRecord">
    <vt:lpwstr>eyJoZGlkIjoiMDQ3MjIxNWI5NDkwYzNjNWYzNmUwOTI4Y2FjNTRiNWIiLCJ1c2VySWQiOiIxODQyMTEzNjkxIn0=</vt:lpwstr>
  </property>
</Properties>
</file>