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4F5A96">
      <w:pPr>
        <w:spacing w:line="360" w:lineRule="auto"/>
        <w:jc w:val="left"/>
      </w:pPr>
      <w:r>
        <w:drawing>
          <wp:anchor distT="0" distB="0" distL="114300" distR="114300" simplePos="0" relativeHeight="251659264" behindDoc="0" locked="0" layoutInCell="1" allowOverlap="1">
            <wp:simplePos x="0" y="0"/>
            <wp:positionH relativeFrom="column">
              <wp:posOffset>-1156335</wp:posOffset>
            </wp:positionH>
            <wp:positionV relativeFrom="paragraph">
              <wp:posOffset>-1100455</wp:posOffset>
            </wp:positionV>
            <wp:extent cx="7628890" cy="10659110"/>
            <wp:effectExtent l="0" t="0" r="10160" b="8890"/>
            <wp:wrapNone/>
            <wp:docPr id="42" name="图片 42" descr="C:/Users/zhibo01/Desktop/存图/2025年8月.jpg2025年8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zhibo01/Desktop/存图/2025年8月.jpg2025年8月"/>
                    <pic:cNvPicPr>
                      <a:picLocks noChangeAspect="1" noChangeArrowheads="1"/>
                    </pic:cNvPicPr>
                  </pic:nvPicPr>
                  <pic:blipFill>
                    <a:blip r:embed="rId6"/>
                    <a:srcRect t="603" b="603"/>
                    <a:stretch>
                      <a:fillRect/>
                    </a:stretch>
                  </pic:blipFill>
                  <pic:spPr>
                    <a:xfrm>
                      <a:off x="0" y="0"/>
                      <a:ext cx="7628890" cy="10682716"/>
                    </a:xfrm>
                    <a:prstGeom prst="rect">
                      <a:avLst/>
                    </a:prstGeom>
                    <a:noFill/>
                    <a:ln>
                      <a:noFill/>
                    </a:ln>
                  </pic:spPr>
                </pic:pic>
              </a:graphicData>
            </a:graphic>
          </wp:anchor>
        </w:drawing>
      </w:r>
    </w:p>
    <w:p w14:paraId="6E52F65E">
      <w:pPr>
        <w:spacing w:line="360" w:lineRule="auto"/>
        <w:jc w:val="left"/>
        <w:rPr>
          <w:rFonts w:ascii="宋体" w:hAnsi="宋体" w:eastAsia="宋体" w:cs="宋体"/>
          <w:sz w:val="24"/>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14:paraId="7FC27818">
      <w:pPr>
        <w:spacing w:line="360" w:lineRule="auto"/>
        <w:jc w:val="left"/>
        <w:rPr>
          <w:rFonts w:ascii="宋体" w:hAnsi="宋体" w:eastAsia="宋体" w:cs="宋体"/>
          <w:sz w:val="24"/>
        </w:rPr>
      </w:pPr>
    </w:p>
    <w:sdt>
      <w:sdtPr>
        <w:rPr>
          <w:rFonts w:ascii="宋体" w:hAnsi="宋体" w:eastAsia="宋体"/>
        </w:rPr>
        <w:id w:val="147466958"/>
        <w15:color w:val="DBDBDB"/>
        <w:docPartObj>
          <w:docPartGallery w:val="Table of Contents"/>
          <w:docPartUnique/>
        </w:docPartObj>
      </w:sdtPr>
      <w:sdtEndPr>
        <w:rPr>
          <w:rFonts w:hint="eastAsia" w:asciiTheme="minorHAnsi" w:hAnsiTheme="minorHAnsi" w:eastAsiaTheme="minorEastAsia"/>
          <w:b/>
          <w:bCs/>
          <w:sz w:val="24"/>
          <w:szCs w:val="32"/>
        </w:rPr>
      </w:sdtEndPr>
      <w:sdtContent>
        <w:p w14:paraId="62862BF9">
          <w:pPr>
            <w:spacing w:line="360" w:lineRule="auto"/>
            <w:jc w:val="left"/>
            <w:rPr>
              <w:b/>
              <w:bCs/>
              <w:sz w:val="44"/>
              <w:szCs w:val="52"/>
            </w:rPr>
          </w:pPr>
          <w:r>
            <w:rPr>
              <w:rFonts w:ascii="宋体" w:hAnsi="宋体" w:eastAsia="宋体"/>
              <w:b/>
              <w:bCs/>
              <w:sz w:val="44"/>
              <w:szCs w:val="52"/>
            </w:rPr>
            <w:t>目录</w:t>
          </w:r>
        </w:p>
        <w:p w14:paraId="5051E804">
          <w:pPr>
            <w:pStyle w:val="8"/>
            <w:tabs>
              <w:tab w:val="right" w:leader="dot" w:pos="8306"/>
            </w:tabs>
            <w:spacing w:line="360" w:lineRule="auto"/>
            <w:jc w:val="left"/>
            <w:rPr>
              <w:b/>
              <w:bCs/>
              <w:sz w:val="28"/>
              <w:szCs w:val="36"/>
            </w:rPr>
          </w:pPr>
          <w:r>
            <w:rPr>
              <w:rFonts w:hint="eastAsia"/>
              <w:b/>
              <w:bCs/>
              <w:sz w:val="24"/>
              <w:szCs w:val="32"/>
            </w:rPr>
            <w:fldChar w:fldCharType="begin"/>
          </w:r>
          <w:r>
            <w:rPr>
              <w:rFonts w:hint="eastAsia"/>
              <w:b/>
              <w:bCs/>
              <w:sz w:val="24"/>
              <w:szCs w:val="32"/>
            </w:rPr>
            <w:instrText xml:space="preserve">TOC \o "1-3" \h \u </w:instrText>
          </w:r>
          <w:r>
            <w:rPr>
              <w:rFonts w:hint="eastAsia"/>
              <w:b/>
              <w:bCs/>
              <w:sz w:val="24"/>
              <w:szCs w:val="32"/>
            </w:rPr>
            <w:fldChar w:fldCharType="separate"/>
          </w:r>
          <w:r>
            <w:fldChar w:fldCharType="begin"/>
          </w:r>
          <w:r>
            <w:instrText xml:space="preserve"> HYPERLINK \l "_Toc1615" </w:instrText>
          </w:r>
          <w:r>
            <w:fldChar w:fldCharType="separate"/>
          </w:r>
          <w:r>
            <w:rPr>
              <w:rFonts w:hint="eastAsia" w:ascii="微软雅黑" w:hAnsi="微软雅黑" w:eastAsia="微软雅黑" w:cs="微软雅黑"/>
              <w:b/>
              <w:bCs/>
              <w:sz w:val="28"/>
              <w:szCs w:val="44"/>
            </w:rPr>
            <w:t>一、报告摘要</w:t>
          </w:r>
          <w:r>
            <w:rPr>
              <w:b/>
              <w:bCs/>
              <w:sz w:val="28"/>
              <w:szCs w:val="36"/>
            </w:rPr>
            <w:tab/>
          </w:r>
          <w:r>
            <w:rPr>
              <w:b/>
              <w:bCs/>
              <w:sz w:val="28"/>
              <w:szCs w:val="36"/>
            </w:rPr>
            <w:fldChar w:fldCharType="begin"/>
          </w:r>
          <w:r>
            <w:rPr>
              <w:b/>
              <w:bCs/>
              <w:sz w:val="28"/>
              <w:szCs w:val="36"/>
            </w:rPr>
            <w:instrText xml:space="preserve"> PAGEREF _Toc1615 \h </w:instrText>
          </w:r>
          <w:r>
            <w:rPr>
              <w:b/>
              <w:bCs/>
              <w:sz w:val="28"/>
              <w:szCs w:val="36"/>
            </w:rPr>
            <w:fldChar w:fldCharType="separate"/>
          </w:r>
          <w:r>
            <w:rPr>
              <w:b/>
              <w:bCs/>
              <w:sz w:val="28"/>
              <w:szCs w:val="36"/>
            </w:rPr>
            <w:t>3</w:t>
          </w:r>
          <w:r>
            <w:rPr>
              <w:b/>
              <w:bCs/>
              <w:sz w:val="28"/>
              <w:szCs w:val="36"/>
            </w:rPr>
            <w:fldChar w:fldCharType="end"/>
          </w:r>
          <w:r>
            <w:rPr>
              <w:b/>
              <w:bCs/>
              <w:sz w:val="28"/>
              <w:szCs w:val="36"/>
            </w:rPr>
            <w:fldChar w:fldCharType="end"/>
          </w:r>
        </w:p>
        <w:p w14:paraId="713EC541">
          <w:pPr>
            <w:pStyle w:val="8"/>
            <w:tabs>
              <w:tab w:val="right" w:leader="dot" w:pos="8306"/>
            </w:tabs>
            <w:spacing w:line="360" w:lineRule="auto"/>
            <w:jc w:val="left"/>
            <w:rPr>
              <w:b/>
              <w:bCs/>
              <w:sz w:val="28"/>
              <w:szCs w:val="36"/>
            </w:rPr>
          </w:pPr>
          <w:r>
            <w:fldChar w:fldCharType="begin"/>
          </w:r>
          <w:r>
            <w:instrText xml:space="preserve"> HYPERLINK \l "_Toc4190" </w:instrText>
          </w:r>
          <w:r>
            <w:fldChar w:fldCharType="separate"/>
          </w:r>
          <w:r>
            <w:rPr>
              <w:rFonts w:hint="eastAsia" w:ascii="微软雅黑" w:hAnsi="微软雅黑" w:eastAsia="微软雅黑" w:cs="微软雅黑"/>
              <w:b/>
              <w:bCs/>
              <w:sz w:val="28"/>
              <w:szCs w:val="44"/>
            </w:rPr>
            <w:t>二、整体数据</w:t>
          </w:r>
          <w:r>
            <w:rPr>
              <w:b/>
              <w:bCs/>
              <w:sz w:val="28"/>
              <w:szCs w:val="36"/>
            </w:rPr>
            <w:tab/>
          </w:r>
          <w:r>
            <w:rPr>
              <w:b/>
              <w:bCs/>
              <w:sz w:val="28"/>
              <w:szCs w:val="36"/>
            </w:rPr>
            <w:fldChar w:fldCharType="begin"/>
          </w:r>
          <w:r>
            <w:rPr>
              <w:b/>
              <w:bCs/>
              <w:sz w:val="28"/>
              <w:szCs w:val="36"/>
            </w:rPr>
            <w:instrText xml:space="preserve"> PAGEREF _Toc4190 \h </w:instrText>
          </w:r>
          <w:r>
            <w:rPr>
              <w:b/>
              <w:bCs/>
              <w:sz w:val="28"/>
              <w:szCs w:val="36"/>
            </w:rPr>
            <w:fldChar w:fldCharType="separate"/>
          </w:r>
          <w:r>
            <w:rPr>
              <w:b/>
              <w:bCs/>
              <w:sz w:val="28"/>
              <w:szCs w:val="36"/>
            </w:rPr>
            <w:t>3</w:t>
          </w:r>
          <w:r>
            <w:rPr>
              <w:b/>
              <w:bCs/>
              <w:sz w:val="28"/>
              <w:szCs w:val="36"/>
            </w:rPr>
            <w:fldChar w:fldCharType="end"/>
          </w:r>
          <w:r>
            <w:rPr>
              <w:b/>
              <w:bCs/>
              <w:sz w:val="28"/>
              <w:szCs w:val="36"/>
            </w:rPr>
            <w:fldChar w:fldCharType="end"/>
          </w:r>
        </w:p>
        <w:p w14:paraId="10224CB9">
          <w:pPr>
            <w:pStyle w:val="9"/>
            <w:tabs>
              <w:tab w:val="right" w:leader="dot" w:pos="8306"/>
            </w:tabs>
            <w:spacing w:line="360" w:lineRule="auto"/>
            <w:jc w:val="left"/>
            <w:rPr>
              <w:b/>
              <w:bCs/>
              <w:sz w:val="28"/>
              <w:szCs w:val="28"/>
            </w:rPr>
          </w:pPr>
          <w:r>
            <w:fldChar w:fldCharType="begin"/>
          </w:r>
          <w:r>
            <w:instrText xml:space="preserve"> HYPERLINK \l "_Toc27903" </w:instrText>
          </w:r>
          <w:r>
            <w:fldChar w:fldCharType="separate"/>
          </w:r>
          <w:r>
            <w:rPr>
              <w:rFonts w:hint="eastAsia"/>
              <w:b/>
              <w:bCs/>
              <w:sz w:val="28"/>
              <w:szCs w:val="28"/>
            </w:rPr>
            <w:t>（一）投诉问题类型分布</w:t>
          </w:r>
          <w:r>
            <w:rPr>
              <w:b/>
              <w:bCs/>
              <w:sz w:val="28"/>
              <w:szCs w:val="28"/>
            </w:rPr>
            <w:tab/>
          </w:r>
          <w:r>
            <w:rPr>
              <w:b/>
              <w:bCs/>
              <w:sz w:val="28"/>
              <w:szCs w:val="28"/>
            </w:rPr>
            <w:fldChar w:fldCharType="begin"/>
          </w:r>
          <w:r>
            <w:rPr>
              <w:b/>
              <w:bCs/>
              <w:sz w:val="28"/>
              <w:szCs w:val="28"/>
            </w:rPr>
            <w:instrText xml:space="preserve"> PAGEREF _Toc27903 \h </w:instrText>
          </w:r>
          <w:r>
            <w:rPr>
              <w:b/>
              <w:bCs/>
              <w:sz w:val="28"/>
              <w:szCs w:val="28"/>
            </w:rPr>
            <w:fldChar w:fldCharType="separate"/>
          </w:r>
          <w:r>
            <w:rPr>
              <w:b/>
              <w:bCs/>
              <w:sz w:val="28"/>
              <w:szCs w:val="28"/>
            </w:rPr>
            <w:t>3</w:t>
          </w:r>
          <w:r>
            <w:rPr>
              <w:b/>
              <w:bCs/>
              <w:sz w:val="28"/>
              <w:szCs w:val="28"/>
            </w:rPr>
            <w:fldChar w:fldCharType="end"/>
          </w:r>
          <w:r>
            <w:rPr>
              <w:b/>
              <w:bCs/>
              <w:sz w:val="28"/>
              <w:szCs w:val="28"/>
            </w:rPr>
            <w:fldChar w:fldCharType="end"/>
          </w:r>
        </w:p>
        <w:p w14:paraId="0EE5FD4C">
          <w:pPr>
            <w:pStyle w:val="9"/>
            <w:tabs>
              <w:tab w:val="right" w:leader="dot" w:pos="8306"/>
            </w:tabs>
            <w:spacing w:line="360" w:lineRule="auto"/>
            <w:jc w:val="left"/>
            <w:rPr>
              <w:b/>
              <w:bCs/>
              <w:sz w:val="28"/>
              <w:szCs w:val="28"/>
            </w:rPr>
          </w:pPr>
          <w:r>
            <w:fldChar w:fldCharType="begin"/>
          </w:r>
          <w:r>
            <w:instrText xml:space="preserve"> HYPERLINK \l "_Toc27936" </w:instrText>
          </w:r>
          <w:r>
            <w:fldChar w:fldCharType="separate"/>
          </w:r>
          <w:r>
            <w:rPr>
              <w:rFonts w:hint="eastAsia"/>
              <w:b/>
              <w:bCs/>
              <w:sz w:val="28"/>
              <w:szCs w:val="28"/>
            </w:rPr>
            <w:t>（二）投诉地区分布</w:t>
          </w:r>
          <w:r>
            <w:rPr>
              <w:b/>
              <w:bCs/>
              <w:sz w:val="28"/>
              <w:szCs w:val="28"/>
            </w:rPr>
            <w:tab/>
          </w:r>
          <w:r>
            <w:rPr>
              <w:b/>
              <w:bCs/>
              <w:sz w:val="28"/>
              <w:szCs w:val="28"/>
            </w:rPr>
            <w:fldChar w:fldCharType="begin"/>
          </w:r>
          <w:r>
            <w:rPr>
              <w:b/>
              <w:bCs/>
              <w:sz w:val="28"/>
              <w:szCs w:val="28"/>
            </w:rPr>
            <w:instrText xml:space="preserve"> PAGEREF _Toc27936 \h </w:instrText>
          </w:r>
          <w:r>
            <w:rPr>
              <w:b/>
              <w:bCs/>
              <w:sz w:val="28"/>
              <w:szCs w:val="28"/>
            </w:rPr>
            <w:fldChar w:fldCharType="separate"/>
          </w:r>
          <w:r>
            <w:rPr>
              <w:b/>
              <w:bCs/>
              <w:sz w:val="28"/>
              <w:szCs w:val="28"/>
            </w:rPr>
            <w:t>4</w:t>
          </w:r>
          <w:r>
            <w:rPr>
              <w:b/>
              <w:bCs/>
              <w:sz w:val="28"/>
              <w:szCs w:val="28"/>
            </w:rPr>
            <w:fldChar w:fldCharType="end"/>
          </w:r>
          <w:r>
            <w:rPr>
              <w:b/>
              <w:bCs/>
              <w:sz w:val="28"/>
              <w:szCs w:val="28"/>
            </w:rPr>
            <w:fldChar w:fldCharType="end"/>
          </w:r>
        </w:p>
        <w:p w14:paraId="283306E8">
          <w:pPr>
            <w:pStyle w:val="9"/>
            <w:tabs>
              <w:tab w:val="right" w:leader="dot" w:pos="8306"/>
            </w:tabs>
            <w:spacing w:line="360" w:lineRule="auto"/>
            <w:jc w:val="left"/>
            <w:rPr>
              <w:b/>
              <w:bCs/>
              <w:sz w:val="28"/>
              <w:szCs w:val="28"/>
            </w:rPr>
          </w:pPr>
          <w:r>
            <w:fldChar w:fldCharType="begin"/>
          </w:r>
          <w:r>
            <w:instrText xml:space="preserve"> HYPERLINK \l "_Toc22372" </w:instrText>
          </w:r>
          <w:r>
            <w:fldChar w:fldCharType="separate"/>
          </w:r>
          <w:r>
            <w:rPr>
              <w:b/>
              <w:bCs/>
              <w:sz w:val="28"/>
              <w:szCs w:val="28"/>
            </w:rPr>
            <w:t>（三）投诉用户性别分布</w:t>
          </w:r>
          <w:r>
            <w:rPr>
              <w:b/>
              <w:bCs/>
              <w:sz w:val="28"/>
              <w:szCs w:val="28"/>
            </w:rPr>
            <w:tab/>
          </w:r>
          <w:r>
            <w:rPr>
              <w:b/>
              <w:bCs/>
              <w:sz w:val="28"/>
              <w:szCs w:val="28"/>
            </w:rPr>
            <w:fldChar w:fldCharType="begin"/>
          </w:r>
          <w:r>
            <w:rPr>
              <w:b/>
              <w:bCs/>
              <w:sz w:val="28"/>
              <w:szCs w:val="28"/>
            </w:rPr>
            <w:instrText xml:space="preserve"> PAGEREF _Toc22372 \h </w:instrText>
          </w:r>
          <w:r>
            <w:rPr>
              <w:b/>
              <w:bCs/>
              <w:sz w:val="28"/>
              <w:szCs w:val="28"/>
            </w:rPr>
            <w:fldChar w:fldCharType="separate"/>
          </w:r>
          <w:r>
            <w:rPr>
              <w:b/>
              <w:bCs/>
              <w:sz w:val="28"/>
              <w:szCs w:val="28"/>
            </w:rPr>
            <w:t>5</w:t>
          </w:r>
          <w:r>
            <w:rPr>
              <w:b/>
              <w:bCs/>
              <w:sz w:val="28"/>
              <w:szCs w:val="28"/>
            </w:rPr>
            <w:fldChar w:fldCharType="end"/>
          </w:r>
          <w:r>
            <w:rPr>
              <w:b/>
              <w:bCs/>
              <w:sz w:val="28"/>
              <w:szCs w:val="28"/>
            </w:rPr>
            <w:fldChar w:fldCharType="end"/>
          </w:r>
        </w:p>
        <w:p w14:paraId="489CB1E5">
          <w:pPr>
            <w:pStyle w:val="9"/>
            <w:tabs>
              <w:tab w:val="right" w:leader="dot" w:pos="8306"/>
            </w:tabs>
            <w:spacing w:line="360" w:lineRule="auto"/>
            <w:jc w:val="left"/>
            <w:rPr>
              <w:b/>
              <w:bCs/>
              <w:sz w:val="28"/>
              <w:szCs w:val="28"/>
            </w:rPr>
          </w:pPr>
          <w:r>
            <w:fldChar w:fldCharType="begin"/>
          </w:r>
          <w:r>
            <w:instrText xml:space="preserve"> HYPERLINK \l "_Toc4758" </w:instrText>
          </w:r>
          <w:r>
            <w:fldChar w:fldCharType="separate"/>
          </w:r>
          <w:r>
            <w:rPr>
              <w:rFonts w:hint="eastAsia"/>
              <w:b/>
              <w:bCs/>
              <w:sz w:val="28"/>
              <w:szCs w:val="28"/>
            </w:rPr>
            <w:t>（四）投诉金额区间分布</w:t>
          </w:r>
          <w:r>
            <w:rPr>
              <w:b/>
              <w:bCs/>
              <w:sz w:val="28"/>
              <w:szCs w:val="28"/>
            </w:rPr>
            <w:tab/>
          </w:r>
          <w:r>
            <w:rPr>
              <w:b/>
              <w:bCs/>
              <w:sz w:val="28"/>
              <w:szCs w:val="28"/>
            </w:rPr>
            <w:fldChar w:fldCharType="begin"/>
          </w:r>
          <w:r>
            <w:rPr>
              <w:b/>
              <w:bCs/>
              <w:sz w:val="28"/>
              <w:szCs w:val="28"/>
            </w:rPr>
            <w:instrText xml:space="preserve"> PAGEREF _Toc4758 \h </w:instrText>
          </w:r>
          <w:r>
            <w:rPr>
              <w:b/>
              <w:bCs/>
              <w:sz w:val="28"/>
              <w:szCs w:val="28"/>
            </w:rPr>
            <w:fldChar w:fldCharType="separate"/>
          </w:r>
          <w:r>
            <w:rPr>
              <w:b/>
              <w:bCs/>
              <w:sz w:val="28"/>
              <w:szCs w:val="28"/>
            </w:rPr>
            <w:t>6</w:t>
          </w:r>
          <w:r>
            <w:rPr>
              <w:b/>
              <w:bCs/>
              <w:sz w:val="28"/>
              <w:szCs w:val="28"/>
            </w:rPr>
            <w:fldChar w:fldCharType="end"/>
          </w:r>
          <w:r>
            <w:rPr>
              <w:b/>
              <w:bCs/>
              <w:sz w:val="28"/>
              <w:szCs w:val="28"/>
            </w:rPr>
            <w:fldChar w:fldCharType="end"/>
          </w:r>
        </w:p>
        <w:p w14:paraId="3E618033">
          <w:pPr>
            <w:pStyle w:val="8"/>
            <w:tabs>
              <w:tab w:val="right" w:leader="dot" w:pos="8306"/>
            </w:tabs>
            <w:spacing w:line="360" w:lineRule="auto"/>
            <w:jc w:val="left"/>
            <w:rPr>
              <w:rFonts w:ascii="微软雅黑" w:hAnsi="微软雅黑" w:eastAsia="微软雅黑"/>
              <w:b/>
              <w:bCs/>
              <w:sz w:val="28"/>
              <w:szCs w:val="36"/>
            </w:rPr>
          </w:pPr>
          <w:r>
            <w:fldChar w:fldCharType="begin"/>
          </w:r>
          <w:r>
            <w:instrText xml:space="preserve"> HYPERLINK \l "_Toc1329" </w:instrText>
          </w:r>
          <w:r>
            <w:fldChar w:fldCharType="separate"/>
          </w:r>
          <w:r>
            <w:rPr>
              <w:rFonts w:hint="eastAsia" w:ascii="微软雅黑" w:hAnsi="微软雅黑" w:eastAsia="微软雅黑"/>
              <w:b/>
              <w:bCs/>
              <w:sz w:val="28"/>
              <w:szCs w:val="44"/>
            </w:rPr>
            <w:t>三、 评级数据与典型案例</w:t>
          </w:r>
          <w:r>
            <w:rPr>
              <w:rFonts w:ascii="微软雅黑" w:hAnsi="微软雅黑" w:eastAsia="微软雅黑"/>
              <w:b/>
              <w:bCs/>
              <w:sz w:val="28"/>
              <w:szCs w:val="36"/>
            </w:rPr>
            <w:tab/>
          </w:r>
          <w:r>
            <w:rPr>
              <w:rFonts w:ascii="微软雅黑" w:hAnsi="微软雅黑" w:eastAsia="微软雅黑"/>
              <w:b/>
              <w:bCs/>
              <w:sz w:val="28"/>
              <w:szCs w:val="36"/>
            </w:rPr>
            <w:fldChar w:fldCharType="begin"/>
          </w:r>
          <w:r>
            <w:rPr>
              <w:rFonts w:ascii="微软雅黑" w:hAnsi="微软雅黑" w:eastAsia="微软雅黑"/>
              <w:b/>
              <w:bCs/>
              <w:sz w:val="28"/>
              <w:szCs w:val="36"/>
            </w:rPr>
            <w:instrText xml:space="preserve"> PAGEREF _Toc1329 \h </w:instrText>
          </w:r>
          <w:r>
            <w:rPr>
              <w:rFonts w:ascii="微软雅黑" w:hAnsi="微软雅黑" w:eastAsia="微软雅黑"/>
              <w:b/>
              <w:bCs/>
              <w:sz w:val="28"/>
              <w:szCs w:val="36"/>
            </w:rPr>
            <w:fldChar w:fldCharType="separate"/>
          </w:r>
          <w:r>
            <w:rPr>
              <w:rFonts w:ascii="微软雅黑" w:hAnsi="微软雅黑" w:eastAsia="微软雅黑"/>
              <w:b/>
              <w:bCs/>
              <w:sz w:val="28"/>
              <w:szCs w:val="36"/>
            </w:rPr>
            <w:t>6</w:t>
          </w:r>
          <w:r>
            <w:rPr>
              <w:rFonts w:ascii="微软雅黑" w:hAnsi="微软雅黑" w:eastAsia="微软雅黑"/>
              <w:b/>
              <w:bCs/>
              <w:sz w:val="28"/>
              <w:szCs w:val="36"/>
            </w:rPr>
            <w:fldChar w:fldCharType="end"/>
          </w:r>
          <w:r>
            <w:rPr>
              <w:rFonts w:ascii="微软雅黑" w:hAnsi="微软雅黑" w:eastAsia="微软雅黑"/>
              <w:b/>
              <w:bCs/>
              <w:sz w:val="28"/>
              <w:szCs w:val="36"/>
            </w:rPr>
            <w:fldChar w:fldCharType="end"/>
          </w:r>
        </w:p>
        <w:p w14:paraId="3D7FEE7B">
          <w:pPr>
            <w:pStyle w:val="9"/>
            <w:tabs>
              <w:tab w:val="right" w:leader="dot" w:pos="8306"/>
            </w:tabs>
            <w:spacing w:line="360" w:lineRule="auto"/>
            <w:jc w:val="left"/>
            <w:rPr>
              <w:b/>
              <w:bCs/>
              <w:sz w:val="28"/>
              <w:szCs w:val="28"/>
            </w:rPr>
          </w:pPr>
          <w:r>
            <w:fldChar w:fldCharType="begin"/>
          </w:r>
          <w:r>
            <w:instrText xml:space="preserve"> HYPERLINK \l "_Toc18998" </w:instrText>
          </w:r>
          <w:r>
            <w:fldChar w:fldCharType="separate"/>
          </w:r>
          <w:r>
            <w:rPr>
              <w:b/>
              <w:bCs/>
              <w:sz w:val="28"/>
              <w:szCs w:val="28"/>
            </w:rPr>
            <w:t>（一）数字零售数据与十大典型案例</w:t>
          </w:r>
          <w:r>
            <w:rPr>
              <w:b/>
              <w:bCs/>
              <w:sz w:val="28"/>
              <w:szCs w:val="28"/>
            </w:rPr>
            <w:tab/>
          </w:r>
          <w:r>
            <w:rPr>
              <w:b/>
              <w:bCs/>
              <w:sz w:val="28"/>
              <w:szCs w:val="28"/>
            </w:rPr>
            <w:fldChar w:fldCharType="begin"/>
          </w:r>
          <w:r>
            <w:rPr>
              <w:b/>
              <w:bCs/>
              <w:sz w:val="28"/>
              <w:szCs w:val="28"/>
            </w:rPr>
            <w:instrText xml:space="preserve"> PAGEREF _Toc18998 \h </w:instrText>
          </w:r>
          <w:r>
            <w:rPr>
              <w:b/>
              <w:bCs/>
              <w:sz w:val="28"/>
              <w:szCs w:val="28"/>
            </w:rPr>
            <w:fldChar w:fldCharType="separate"/>
          </w:r>
          <w:r>
            <w:rPr>
              <w:b/>
              <w:bCs/>
              <w:sz w:val="28"/>
              <w:szCs w:val="28"/>
            </w:rPr>
            <w:t>7</w:t>
          </w:r>
          <w:r>
            <w:rPr>
              <w:b/>
              <w:bCs/>
              <w:sz w:val="28"/>
              <w:szCs w:val="28"/>
            </w:rPr>
            <w:fldChar w:fldCharType="end"/>
          </w:r>
          <w:r>
            <w:rPr>
              <w:b/>
              <w:bCs/>
              <w:sz w:val="28"/>
              <w:szCs w:val="28"/>
            </w:rPr>
            <w:fldChar w:fldCharType="end"/>
          </w:r>
        </w:p>
        <w:p w14:paraId="6FECC93C">
          <w:pPr>
            <w:pStyle w:val="9"/>
            <w:tabs>
              <w:tab w:val="right" w:leader="dot" w:pos="8306"/>
            </w:tabs>
            <w:spacing w:line="360" w:lineRule="auto"/>
            <w:jc w:val="left"/>
            <w:rPr>
              <w:b/>
              <w:bCs/>
              <w:sz w:val="28"/>
              <w:szCs w:val="28"/>
            </w:rPr>
          </w:pPr>
          <w:r>
            <w:fldChar w:fldCharType="begin"/>
          </w:r>
          <w:r>
            <w:instrText xml:space="preserve"> HYPERLINK \l "_Toc18521" </w:instrText>
          </w:r>
          <w:r>
            <w:fldChar w:fldCharType="separate"/>
          </w:r>
          <w:r>
            <w:rPr>
              <w:rFonts w:hint="eastAsia"/>
              <w:b/>
              <w:bCs/>
              <w:sz w:val="28"/>
              <w:szCs w:val="28"/>
            </w:rPr>
            <w:t>（一）</w:t>
          </w:r>
          <w:r>
            <w:rPr>
              <w:b/>
              <w:bCs/>
              <w:sz w:val="28"/>
              <w:szCs w:val="28"/>
            </w:rPr>
            <w:t>生活</w:t>
          </w:r>
          <w:r>
            <w:rPr>
              <w:rFonts w:hint="eastAsia"/>
              <w:b/>
              <w:bCs/>
              <w:sz w:val="28"/>
              <w:szCs w:val="28"/>
            </w:rPr>
            <w:t>服务电商</w:t>
          </w:r>
          <w:r>
            <w:rPr>
              <w:b/>
              <w:bCs/>
              <w:sz w:val="28"/>
              <w:szCs w:val="28"/>
            </w:rPr>
            <w:t>数据与十大典型案例</w:t>
          </w:r>
          <w:r>
            <w:rPr>
              <w:b/>
              <w:bCs/>
              <w:sz w:val="28"/>
              <w:szCs w:val="28"/>
            </w:rPr>
            <w:tab/>
          </w:r>
          <w:r>
            <w:rPr>
              <w:b/>
              <w:bCs/>
              <w:sz w:val="28"/>
              <w:szCs w:val="28"/>
            </w:rPr>
            <w:fldChar w:fldCharType="begin"/>
          </w:r>
          <w:r>
            <w:rPr>
              <w:b/>
              <w:bCs/>
              <w:sz w:val="28"/>
              <w:szCs w:val="28"/>
            </w:rPr>
            <w:instrText xml:space="preserve"> PAGEREF _Toc18521 \h </w:instrText>
          </w:r>
          <w:r>
            <w:rPr>
              <w:b/>
              <w:bCs/>
              <w:sz w:val="28"/>
              <w:szCs w:val="28"/>
            </w:rPr>
            <w:fldChar w:fldCharType="separate"/>
          </w:r>
          <w:r>
            <w:rPr>
              <w:b/>
              <w:bCs/>
              <w:sz w:val="28"/>
              <w:szCs w:val="28"/>
            </w:rPr>
            <w:t>14</w:t>
          </w:r>
          <w:r>
            <w:rPr>
              <w:b/>
              <w:bCs/>
              <w:sz w:val="28"/>
              <w:szCs w:val="28"/>
            </w:rPr>
            <w:fldChar w:fldCharType="end"/>
          </w:r>
          <w:r>
            <w:rPr>
              <w:b/>
              <w:bCs/>
              <w:sz w:val="28"/>
              <w:szCs w:val="28"/>
            </w:rPr>
            <w:fldChar w:fldCharType="end"/>
          </w:r>
        </w:p>
        <w:p w14:paraId="69F0F9DB">
          <w:pPr>
            <w:pStyle w:val="9"/>
            <w:tabs>
              <w:tab w:val="right" w:leader="dot" w:pos="8306"/>
            </w:tabs>
            <w:spacing w:line="360" w:lineRule="auto"/>
            <w:jc w:val="left"/>
            <w:rPr>
              <w:b/>
              <w:bCs/>
              <w:sz w:val="28"/>
              <w:szCs w:val="28"/>
            </w:rPr>
          </w:pPr>
          <w:r>
            <w:fldChar w:fldCharType="begin"/>
          </w:r>
          <w:r>
            <w:instrText xml:space="preserve"> HYPERLINK \l "_Toc15181" </w:instrText>
          </w:r>
          <w:r>
            <w:fldChar w:fldCharType="separate"/>
          </w:r>
          <w:r>
            <w:rPr>
              <w:rFonts w:hint="eastAsia" w:ascii="宋体" w:hAnsi="宋体" w:eastAsia="宋体" w:cs="宋体"/>
              <w:b/>
              <w:bCs/>
              <w:sz w:val="28"/>
              <w:szCs w:val="28"/>
            </w:rPr>
            <w:t>（</w:t>
          </w:r>
          <w:r>
            <w:rPr>
              <w:b/>
              <w:bCs/>
              <w:sz w:val="28"/>
              <w:szCs w:val="28"/>
            </w:rPr>
            <w:t>三）</w:t>
          </w:r>
          <w:r>
            <w:rPr>
              <w:rFonts w:hint="eastAsia"/>
              <w:b/>
              <w:bCs/>
              <w:sz w:val="28"/>
              <w:szCs w:val="28"/>
            </w:rPr>
            <w:t>跨境电商数据</w:t>
          </w:r>
          <w:r>
            <w:rPr>
              <w:b/>
              <w:bCs/>
              <w:sz w:val="28"/>
              <w:szCs w:val="28"/>
            </w:rPr>
            <w:t>与十大</w:t>
          </w:r>
          <w:r>
            <w:rPr>
              <w:rFonts w:hint="eastAsia"/>
              <w:b/>
              <w:bCs/>
              <w:sz w:val="28"/>
              <w:szCs w:val="28"/>
            </w:rPr>
            <w:t>典型</w:t>
          </w:r>
          <w:r>
            <w:rPr>
              <w:b/>
              <w:bCs/>
              <w:sz w:val="28"/>
              <w:szCs w:val="28"/>
            </w:rPr>
            <w:t>案例</w:t>
          </w:r>
          <w:r>
            <w:rPr>
              <w:b/>
              <w:bCs/>
              <w:sz w:val="28"/>
              <w:szCs w:val="28"/>
            </w:rPr>
            <w:tab/>
          </w:r>
          <w:r>
            <w:rPr>
              <w:b/>
              <w:bCs/>
              <w:sz w:val="28"/>
              <w:szCs w:val="28"/>
            </w:rPr>
            <w:fldChar w:fldCharType="begin"/>
          </w:r>
          <w:r>
            <w:rPr>
              <w:b/>
              <w:bCs/>
              <w:sz w:val="28"/>
              <w:szCs w:val="28"/>
            </w:rPr>
            <w:instrText xml:space="preserve"> PAGEREF _Toc15181 \h </w:instrText>
          </w:r>
          <w:r>
            <w:rPr>
              <w:b/>
              <w:bCs/>
              <w:sz w:val="28"/>
              <w:szCs w:val="28"/>
            </w:rPr>
            <w:fldChar w:fldCharType="separate"/>
          </w:r>
          <w:r>
            <w:rPr>
              <w:b/>
              <w:bCs/>
              <w:sz w:val="28"/>
              <w:szCs w:val="28"/>
            </w:rPr>
            <w:t>19</w:t>
          </w:r>
          <w:r>
            <w:rPr>
              <w:b/>
              <w:bCs/>
              <w:sz w:val="28"/>
              <w:szCs w:val="28"/>
            </w:rPr>
            <w:fldChar w:fldCharType="end"/>
          </w:r>
          <w:r>
            <w:rPr>
              <w:b/>
              <w:bCs/>
              <w:sz w:val="28"/>
              <w:szCs w:val="28"/>
            </w:rPr>
            <w:fldChar w:fldCharType="end"/>
          </w:r>
        </w:p>
        <w:p w14:paraId="5CAE3886">
          <w:pPr>
            <w:pStyle w:val="8"/>
            <w:tabs>
              <w:tab w:val="right" w:leader="dot" w:pos="8306"/>
            </w:tabs>
            <w:spacing w:line="360" w:lineRule="auto"/>
            <w:jc w:val="left"/>
            <w:rPr>
              <w:rFonts w:ascii="微软雅黑" w:hAnsi="微软雅黑" w:eastAsia="微软雅黑"/>
              <w:b/>
              <w:bCs/>
              <w:sz w:val="28"/>
              <w:szCs w:val="36"/>
            </w:rPr>
          </w:pPr>
          <w:r>
            <w:fldChar w:fldCharType="begin"/>
          </w:r>
          <w:r>
            <w:instrText xml:space="preserve"> HYPERLINK \l "_Toc23431" </w:instrText>
          </w:r>
          <w:r>
            <w:fldChar w:fldCharType="separate"/>
          </w:r>
          <w:r>
            <w:rPr>
              <w:rFonts w:hint="eastAsia" w:ascii="微软雅黑" w:hAnsi="微软雅黑" w:eastAsia="微软雅黑"/>
              <w:b/>
              <w:bCs/>
              <w:sz w:val="28"/>
              <w:szCs w:val="44"/>
            </w:rPr>
            <w:t>四、 关于我们</w:t>
          </w:r>
          <w:r>
            <w:rPr>
              <w:rFonts w:ascii="微软雅黑" w:hAnsi="微软雅黑" w:eastAsia="微软雅黑"/>
              <w:b/>
              <w:bCs/>
              <w:sz w:val="28"/>
              <w:szCs w:val="36"/>
            </w:rPr>
            <w:tab/>
          </w:r>
          <w:r>
            <w:rPr>
              <w:rFonts w:ascii="微软雅黑" w:hAnsi="微软雅黑" w:eastAsia="微软雅黑"/>
              <w:b/>
              <w:bCs/>
              <w:sz w:val="28"/>
              <w:szCs w:val="36"/>
            </w:rPr>
            <w:fldChar w:fldCharType="begin"/>
          </w:r>
          <w:r>
            <w:rPr>
              <w:rFonts w:ascii="微软雅黑" w:hAnsi="微软雅黑" w:eastAsia="微软雅黑"/>
              <w:b/>
              <w:bCs/>
              <w:sz w:val="28"/>
              <w:szCs w:val="36"/>
            </w:rPr>
            <w:instrText xml:space="preserve"> PAGEREF _Toc23431 \h </w:instrText>
          </w:r>
          <w:r>
            <w:rPr>
              <w:rFonts w:ascii="微软雅黑" w:hAnsi="微软雅黑" w:eastAsia="微软雅黑"/>
              <w:b/>
              <w:bCs/>
              <w:sz w:val="28"/>
              <w:szCs w:val="36"/>
            </w:rPr>
            <w:fldChar w:fldCharType="separate"/>
          </w:r>
          <w:r>
            <w:rPr>
              <w:rFonts w:ascii="微软雅黑" w:hAnsi="微软雅黑" w:eastAsia="微软雅黑"/>
              <w:b/>
              <w:bCs/>
              <w:sz w:val="28"/>
              <w:szCs w:val="36"/>
            </w:rPr>
            <w:t>24</w:t>
          </w:r>
          <w:r>
            <w:rPr>
              <w:rFonts w:ascii="微软雅黑" w:hAnsi="微软雅黑" w:eastAsia="微软雅黑"/>
              <w:b/>
              <w:bCs/>
              <w:sz w:val="28"/>
              <w:szCs w:val="36"/>
            </w:rPr>
            <w:fldChar w:fldCharType="end"/>
          </w:r>
          <w:r>
            <w:rPr>
              <w:rFonts w:ascii="微软雅黑" w:hAnsi="微软雅黑" w:eastAsia="微软雅黑"/>
              <w:b/>
              <w:bCs/>
              <w:sz w:val="28"/>
              <w:szCs w:val="36"/>
            </w:rPr>
            <w:fldChar w:fldCharType="end"/>
          </w:r>
        </w:p>
        <w:p w14:paraId="22BB5116">
          <w:pPr>
            <w:pStyle w:val="9"/>
            <w:tabs>
              <w:tab w:val="right" w:leader="dot" w:pos="8306"/>
            </w:tabs>
            <w:spacing w:line="360" w:lineRule="auto"/>
            <w:jc w:val="left"/>
            <w:rPr>
              <w:b/>
              <w:bCs/>
              <w:sz w:val="28"/>
              <w:szCs w:val="28"/>
            </w:rPr>
          </w:pPr>
          <w:r>
            <w:fldChar w:fldCharType="begin"/>
          </w:r>
          <w:r>
            <w:instrText xml:space="preserve"> HYPERLINK \l "_Toc3082" </w:instrText>
          </w:r>
          <w:r>
            <w:fldChar w:fldCharType="separate"/>
          </w:r>
          <w:r>
            <w:rPr>
              <w:rFonts w:hint="eastAsia"/>
              <w:b/>
              <w:bCs/>
              <w:sz w:val="28"/>
              <w:szCs w:val="28"/>
            </w:rPr>
            <w:t>（一）</w:t>
          </w:r>
          <w:r>
            <w:rPr>
              <w:b/>
              <w:bCs/>
              <w:sz w:val="28"/>
              <w:szCs w:val="28"/>
            </w:rPr>
            <w:t>关于电诉宝</w:t>
          </w:r>
          <w:r>
            <w:rPr>
              <w:b/>
              <w:bCs/>
              <w:sz w:val="28"/>
              <w:szCs w:val="28"/>
            </w:rPr>
            <w:tab/>
          </w:r>
          <w:r>
            <w:rPr>
              <w:b/>
              <w:bCs/>
              <w:sz w:val="28"/>
              <w:szCs w:val="28"/>
            </w:rPr>
            <w:fldChar w:fldCharType="begin"/>
          </w:r>
          <w:r>
            <w:rPr>
              <w:b/>
              <w:bCs/>
              <w:sz w:val="28"/>
              <w:szCs w:val="28"/>
            </w:rPr>
            <w:instrText xml:space="preserve"> PAGEREF _Toc3082 \h </w:instrText>
          </w:r>
          <w:r>
            <w:rPr>
              <w:b/>
              <w:bCs/>
              <w:sz w:val="28"/>
              <w:szCs w:val="28"/>
            </w:rPr>
            <w:fldChar w:fldCharType="separate"/>
          </w:r>
          <w:r>
            <w:rPr>
              <w:b/>
              <w:bCs/>
              <w:sz w:val="28"/>
              <w:szCs w:val="28"/>
            </w:rPr>
            <w:t>24</w:t>
          </w:r>
          <w:r>
            <w:rPr>
              <w:b/>
              <w:bCs/>
              <w:sz w:val="28"/>
              <w:szCs w:val="28"/>
            </w:rPr>
            <w:fldChar w:fldCharType="end"/>
          </w:r>
          <w:r>
            <w:rPr>
              <w:b/>
              <w:bCs/>
              <w:sz w:val="28"/>
              <w:szCs w:val="28"/>
            </w:rPr>
            <w:fldChar w:fldCharType="end"/>
          </w:r>
        </w:p>
        <w:p w14:paraId="07227BC2">
          <w:pPr>
            <w:pStyle w:val="9"/>
            <w:tabs>
              <w:tab w:val="right" w:leader="dot" w:pos="8306"/>
            </w:tabs>
            <w:spacing w:line="360" w:lineRule="auto"/>
            <w:jc w:val="left"/>
            <w:rPr>
              <w:b/>
              <w:bCs/>
              <w:sz w:val="28"/>
              <w:szCs w:val="28"/>
            </w:rPr>
          </w:pPr>
          <w:r>
            <w:fldChar w:fldCharType="begin"/>
          </w:r>
          <w:r>
            <w:instrText xml:space="preserve"> HYPERLINK \l "_Toc4507" </w:instrText>
          </w:r>
          <w:r>
            <w:fldChar w:fldCharType="separate"/>
          </w:r>
          <w:r>
            <w:rPr>
              <w:rFonts w:hint="eastAsia" w:asciiTheme="minorEastAsia" w:hAnsiTheme="minorEastAsia" w:cstheme="minorEastAsia"/>
              <w:b/>
              <w:bCs/>
              <w:sz w:val="28"/>
              <w:szCs w:val="32"/>
            </w:rPr>
            <w:t>（二）关于网经社</w:t>
          </w:r>
          <w:r>
            <w:rPr>
              <w:b/>
              <w:bCs/>
              <w:sz w:val="28"/>
              <w:szCs w:val="28"/>
            </w:rPr>
            <w:tab/>
          </w:r>
          <w:r>
            <w:rPr>
              <w:b/>
              <w:bCs/>
              <w:sz w:val="28"/>
              <w:szCs w:val="28"/>
            </w:rPr>
            <w:fldChar w:fldCharType="begin"/>
          </w:r>
          <w:r>
            <w:rPr>
              <w:b/>
              <w:bCs/>
              <w:sz w:val="28"/>
              <w:szCs w:val="28"/>
            </w:rPr>
            <w:instrText xml:space="preserve"> PAGEREF _Toc4507 \h </w:instrText>
          </w:r>
          <w:r>
            <w:rPr>
              <w:b/>
              <w:bCs/>
              <w:sz w:val="28"/>
              <w:szCs w:val="28"/>
            </w:rPr>
            <w:fldChar w:fldCharType="separate"/>
          </w:r>
          <w:r>
            <w:rPr>
              <w:b/>
              <w:bCs/>
              <w:sz w:val="28"/>
              <w:szCs w:val="28"/>
            </w:rPr>
            <w:t>26</w:t>
          </w:r>
          <w:r>
            <w:rPr>
              <w:b/>
              <w:bCs/>
              <w:sz w:val="28"/>
              <w:szCs w:val="28"/>
            </w:rPr>
            <w:fldChar w:fldCharType="end"/>
          </w:r>
          <w:r>
            <w:rPr>
              <w:b/>
              <w:bCs/>
              <w:sz w:val="28"/>
              <w:szCs w:val="28"/>
            </w:rPr>
            <w:fldChar w:fldCharType="end"/>
          </w:r>
        </w:p>
        <w:p w14:paraId="50F26EE2">
          <w:pPr>
            <w:spacing w:line="360" w:lineRule="auto"/>
            <w:jc w:val="left"/>
            <w:rPr>
              <w:b/>
              <w:bCs/>
              <w:sz w:val="24"/>
              <w:szCs w:val="32"/>
            </w:rPr>
          </w:pPr>
          <w:r>
            <w:rPr>
              <w:rFonts w:hint="eastAsia"/>
              <w:b/>
              <w:bCs/>
              <w:sz w:val="24"/>
              <w:szCs w:val="32"/>
            </w:rPr>
            <w:fldChar w:fldCharType="end"/>
          </w:r>
        </w:p>
      </w:sdtContent>
    </w:sdt>
    <w:p w14:paraId="7F94B0C9">
      <w:pPr>
        <w:spacing w:line="360" w:lineRule="auto"/>
        <w:jc w:val="left"/>
        <w:sectPr>
          <w:pgSz w:w="11906" w:h="16838"/>
          <w:pgMar w:top="1440" w:right="1800" w:bottom="1440" w:left="1800" w:header="851" w:footer="992" w:gutter="0"/>
          <w:cols w:space="425" w:num="1"/>
          <w:docGrid w:type="lines" w:linePitch="312" w:charSpace="0"/>
        </w:sectPr>
      </w:pPr>
    </w:p>
    <w:p w14:paraId="064F0350">
      <w:pPr>
        <w:pStyle w:val="2"/>
        <w:spacing w:line="360" w:lineRule="auto"/>
        <w:jc w:val="left"/>
        <w:rPr>
          <w:rFonts w:ascii="微软雅黑" w:hAnsi="微软雅黑" w:eastAsia="微软雅黑" w:cs="微软雅黑"/>
          <w:sz w:val="32"/>
          <w:szCs w:val="32"/>
        </w:rPr>
      </w:pPr>
      <w:bookmarkStart w:id="0" w:name="_Toc3754"/>
      <w:bookmarkStart w:id="1" w:name="_Toc1615"/>
      <w:r>
        <w:rPr>
          <w:rFonts w:hint="eastAsia" w:ascii="微软雅黑" w:hAnsi="微软雅黑" w:eastAsia="微软雅黑" w:cs="微软雅黑"/>
          <w:sz w:val="32"/>
          <w:szCs w:val="32"/>
        </w:rPr>
        <w:t>一、</w:t>
      </w:r>
      <w:bookmarkEnd w:id="0"/>
      <w:r>
        <w:rPr>
          <w:rFonts w:hint="eastAsia" w:ascii="微软雅黑" w:hAnsi="微软雅黑" w:eastAsia="微软雅黑" w:cs="微软雅黑"/>
          <w:sz w:val="32"/>
          <w:szCs w:val="32"/>
        </w:rPr>
        <w:t>报告摘要</w:t>
      </w:r>
      <w:bookmarkEnd w:id="1"/>
    </w:p>
    <w:p w14:paraId="1C4F3FF1">
      <w:pPr>
        <w:spacing w:before="156" w:beforeLines="50" w:line="360" w:lineRule="auto"/>
        <w:ind w:firstLine="480" w:firstLineChars="200"/>
        <w:jc w:val="left"/>
        <w:rPr>
          <w:rFonts w:ascii="宋体" w:hAnsi="宋体" w:eastAsia="宋体" w:cs="宋体"/>
          <w:sz w:val="24"/>
        </w:rPr>
      </w:pPr>
      <w:bookmarkStart w:id="2" w:name="_Toc24811"/>
      <w:bookmarkStart w:id="3" w:name="_Toc30101"/>
      <w:r>
        <w:rPr>
          <w:rFonts w:hint="eastAsia" w:ascii="宋体" w:hAnsi="宋体" w:eastAsia="宋体" w:cs="宋体"/>
          <w:sz w:val="24"/>
        </w:rPr>
        <w:t>近年来，在政策支持和平台创新的双重推动下，中国消费市场延续稳健增长态势，数字消费动能持续释放，新业态、新模式进一步激发市场活力。然而，随着线上消费规模扩大，退款纠纷、商品质量、虚假宣传、物流延迟及售后服务短板等问题依然突出，对消费者体验构成挑战。</w:t>
      </w:r>
    </w:p>
    <w:p w14:paraId="22EFD104">
      <w:pPr>
        <w:spacing w:before="156" w:beforeLines="50" w:line="360" w:lineRule="auto"/>
        <w:ind w:firstLine="480" w:firstLineChars="200"/>
        <w:jc w:val="left"/>
        <w:rPr>
          <w:rFonts w:ascii="宋体" w:hAnsi="宋体" w:eastAsia="宋体" w:cs="宋体"/>
          <w:sz w:val="24"/>
        </w:rPr>
      </w:pPr>
      <w:r>
        <w:rPr>
          <w:rFonts w:hint="eastAsia" w:ascii="宋体" w:hAnsi="宋体" w:eastAsia="宋体" w:cs="宋体"/>
          <w:sz w:val="24"/>
        </w:rPr>
        <w:t>在此背景下，</w:t>
      </w:r>
      <w:r>
        <w:rPr>
          <w:rFonts w:hint="eastAsia" w:ascii="宋体" w:hAnsi="宋体" w:eastAsia="宋体" w:cs="宋体"/>
          <w:sz w:val="24"/>
          <w:lang w:val="en-US" w:eastAsia="zh-CN"/>
        </w:rPr>
        <w:t>9</w:t>
      </w:r>
      <w:r>
        <w:rPr>
          <w:rFonts w:hint="eastAsia" w:ascii="宋体" w:hAnsi="宋体" w:eastAsia="宋体" w:cs="宋体"/>
          <w:sz w:val="24"/>
        </w:rPr>
        <w:t>月</w:t>
      </w:r>
      <w:r>
        <w:rPr>
          <w:rFonts w:hint="eastAsia" w:ascii="宋体" w:hAnsi="宋体" w:eastAsia="宋体" w:cs="宋体"/>
          <w:sz w:val="24"/>
          <w:lang w:val="en-US" w:eastAsia="zh-CN"/>
        </w:rPr>
        <w:t>4</w:t>
      </w:r>
      <w:r>
        <w:rPr>
          <w:rFonts w:hint="eastAsia" w:ascii="宋体" w:hAnsi="宋体" w:eastAsia="宋体" w:cs="宋体"/>
          <w:sz w:val="24"/>
        </w:rPr>
        <w:t>日，依据国内知名网络</w:t>
      </w:r>
      <w:r>
        <w:fldChar w:fldCharType="begin"/>
      </w:r>
      <w:r>
        <w:instrText xml:space="preserve"> HYPERLINK "http://show.s.315.100ec.cn/" \t "https://www.100ec.cn/_blank" </w:instrText>
      </w:r>
      <w:r>
        <w:fldChar w:fldCharType="separate"/>
      </w:r>
      <w:r>
        <w:rPr>
          <w:rFonts w:hint="eastAsia" w:ascii="宋体" w:hAnsi="宋体" w:eastAsia="宋体" w:cs="宋体"/>
          <w:sz w:val="24"/>
        </w:rPr>
        <w:t>消费</w:t>
      </w:r>
      <w:r>
        <w:rPr>
          <w:rFonts w:ascii="宋体" w:hAnsi="宋体" w:eastAsia="宋体" w:cs="宋体"/>
          <w:sz w:val="24"/>
        </w:rPr>
        <w:fldChar w:fldCharType="end"/>
      </w:r>
      <w:r>
        <w:fldChar w:fldCharType="begin"/>
      </w:r>
      <w:r>
        <w:instrText xml:space="preserve"> HYPERLINK "http://show.s.315.100ec.cn/" \t "https://www.100ec.cn/_blank" </w:instrText>
      </w:r>
      <w:r>
        <w:fldChar w:fldCharType="separate"/>
      </w:r>
      <w:r>
        <w:rPr>
          <w:rFonts w:hint="eastAsia" w:ascii="宋体" w:hAnsi="宋体" w:eastAsia="宋体" w:cs="宋体"/>
          <w:sz w:val="24"/>
        </w:rPr>
        <w:t>纠纷</w:t>
      </w:r>
      <w:r>
        <w:rPr>
          <w:rFonts w:hint="eastAsia" w:ascii="宋体" w:hAnsi="宋体" w:eastAsia="宋体" w:cs="宋体"/>
          <w:sz w:val="24"/>
        </w:rPr>
        <w:fldChar w:fldCharType="end"/>
      </w:r>
      <w:r>
        <w:fldChar w:fldCharType="begin"/>
      </w:r>
      <w:r>
        <w:instrText xml:space="preserve"> HYPERLINK "http://show.s.315.100ec.cn/" \t "https://www.100ec.cn/_blank" </w:instrText>
      </w:r>
      <w:r>
        <w:fldChar w:fldCharType="separate"/>
      </w:r>
      <w:r>
        <w:rPr>
          <w:rFonts w:hint="eastAsia" w:ascii="宋体" w:hAnsi="宋体" w:eastAsia="宋体" w:cs="宋体"/>
          <w:sz w:val="24"/>
        </w:rPr>
        <w:t>调解</w:t>
      </w:r>
      <w:r>
        <w:rPr>
          <w:rFonts w:hint="eastAsia" w:ascii="宋体" w:hAnsi="宋体" w:eastAsia="宋体" w:cs="宋体"/>
          <w:sz w:val="24"/>
        </w:rPr>
        <w:fldChar w:fldCharType="end"/>
      </w:r>
      <w:r>
        <w:rPr>
          <w:rFonts w:hint="eastAsia" w:ascii="宋体" w:hAnsi="宋体" w:eastAsia="宋体" w:cs="宋体"/>
          <w:sz w:val="24"/>
        </w:rPr>
        <w:t>平台“</w:t>
      </w:r>
      <w:r>
        <w:fldChar w:fldCharType="begin"/>
      </w:r>
      <w:r>
        <w:instrText xml:space="preserve"> HYPERLINK "http://show.s.315.100ec.cn/" \t "https://www.100ec.cn/_blank" </w:instrText>
      </w:r>
      <w:r>
        <w:fldChar w:fldCharType="separate"/>
      </w:r>
      <w:r>
        <w:rPr>
          <w:rFonts w:hint="eastAsia" w:ascii="宋体" w:hAnsi="宋体" w:eastAsia="宋体" w:cs="宋体"/>
          <w:sz w:val="24"/>
        </w:rPr>
        <w:t>电诉宝</w:t>
      </w:r>
      <w:r>
        <w:rPr>
          <w:rFonts w:hint="eastAsia" w:ascii="宋体" w:hAnsi="宋体" w:eastAsia="宋体" w:cs="宋体"/>
          <w:sz w:val="24"/>
        </w:rPr>
        <w:fldChar w:fldCharType="end"/>
      </w:r>
      <w:r>
        <w:rPr>
          <w:rFonts w:hint="eastAsia" w:ascii="宋体" w:hAnsi="宋体" w:eastAsia="宋体" w:cs="宋体"/>
          <w:sz w:val="24"/>
        </w:rPr>
        <w:t>”（</w:t>
      </w:r>
      <w:r>
        <w:fldChar w:fldCharType="begin"/>
      </w:r>
      <w:r>
        <w:instrText xml:space="preserve"> HYPERLINK "http://315.100ec.cn/" \t "https://www.100ec.cn/_self" </w:instrText>
      </w:r>
      <w:r>
        <w:fldChar w:fldCharType="separate"/>
      </w:r>
      <w:r>
        <w:rPr>
          <w:rFonts w:hint="eastAsia" w:ascii="宋体" w:hAnsi="宋体" w:eastAsia="宋体" w:cs="宋体"/>
          <w:sz w:val="24"/>
        </w:rPr>
        <w:t>315.100EC.CN</w:t>
      </w:r>
      <w:r>
        <w:rPr>
          <w:rFonts w:hint="eastAsia" w:ascii="宋体" w:hAnsi="宋体" w:eastAsia="宋体" w:cs="宋体"/>
          <w:sz w:val="24"/>
        </w:rPr>
        <w:fldChar w:fldCharType="end"/>
      </w:r>
      <w:r>
        <w:rPr>
          <w:rFonts w:hint="eastAsia" w:ascii="宋体" w:hAnsi="宋体" w:eastAsia="宋体" w:cs="宋体"/>
          <w:sz w:val="24"/>
        </w:rPr>
        <w:t>）</w:t>
      </w:r>
      <w:r>
        <w:rPr>
          <w:rFonts w:hint="eastAsia" w:ascii="宋体" w:hAnsi="宋体" w:eastAsia="宋体" w:cs="宋体"/>
          <w:sz w:val="24"/>
          <w:lang w:val="en-US" w:eastAsia="zh-CN"/>
        </w:rPr>
        <w:t>8</w:t>
      </w:r>
      <w:r>
        <w:rPr>
          <w:rFonts w:hint="eastAsia" w:ascii="宋体" w:hAnsi="宋体" w:eastAsia="宋体" w:cs="宋体"/>
          <w:sz w:val="24"/>
        </w:rPr>
        <w:t>月所受理的全国互联网消费平台纠纷大量</w:t>
      </w:r>
      <w:r>
        <w:fldChar w:fldCharType="begin"/>
      </w:r>
      <w:r>
        <w:instrText xml:space="preserve"> HYPERLINK "http://www.100ec.cn/zt/anlk/" \t "https://www.100ec.cn/_blank" </w:instrText>
      </w:r>
      <w:r>
        <w:fldChar w:fldCharType="separate"/>
      </w:r>
      <w:r>
        <w:rPr>
          <w:rFonts w:hint="eastAsia" w:ascii="宋体" w:hAnsi="宋体" w:eastAsia="宋体" w:cs="宋体"/>
          <w:sz w:val="24"/>
        </w:rPr>
        <w:t>案例</w:t>
      </w:r>
      <w:r>
        <w:rPr>
          <w:rFonts w:hint="eastAsia" w:ascii="宋体" w:hAnsi="宋体" w:eastAsia="宋体" w:cs="宋体"/>
          <w:sz w:val="24"/>
        </w:rPr>
        <w:fldChar w:fldCharType="end"/>
      </w:r>
      <w:r>
        <w:fldChar w:fldCharType="begin"/>
      </w:r>
      <w:r>
        <w:instrText xml:space="preserve"> HYPERLINK "http://www.100ec.cn/Index/dsb_product.html" \t "https://www.100ec.cn/_blank" </w:instrText>
      </w:r>
      <w:r>
        <w:fldChar w:fldCharType="separate"/>
      </w:r>
      <w:r>
        <w:rPr>
          <w:rFonts w:hint="eastAsia" w:ascii="宋体" w:hAnsi="宋体" w:eastAsia="宋体" w:cs="宋体"/>
          <w:sz w:val="24"/>
        </w:rPr>
        <w:t>数据</w:t>
      </w:r>
      <w:r>
        <w:rPr>
          <w:rFonts w:hint="eastAsia" w:ascii="宋体" w:hAnsi="宋体" w:eastAsia="宋体" w:cs="宋体"/>
          <w:sz w:val="24"/>
        </w:rPr>
        <w:fldChar w:fldCharType="end"/>
      </w:r>
      <w:r>
        <w:rPr>
          <w:rFonts w:hint="eastAsia" w:ascii="宋体" w:hAnsi="宋体" w:eastAsia="宋体" w:cs="宋体"/>
          <w:sz w:val="24"/>
        </w:rPr>
        <w:t>，分析2025年</w:t>
      </w:r>
      <w:r>
        <w:rPr>
          <w:rFonts w:hint="eastAsia" w:ascii="宋体" w:hAnsi="宋体" w:eastAsia="宋体" w:cs="宋体"/>
          <w:sz w:val="24"/>
          <w:lang w:val="en-US" w:eastAsia="zh-CN"/>
        </w:rPr>
        <w:t>8</w:t>
      </w:r>
      <w:r>
        <w:rPr>
          <w:rFonts w:hint="eastAsia" w:ascii="宋体" w:hAnsi="宋体" w:eastAsia="宋体" w:cs="宋体"/>
          <w:sz w:val="24"/>
        </w:rPr>
        <w:t>月电商平台用户投诉数据，发布《2</w:t>
      </w:r>
      <w:r>
        <w:rPr>
          <w:rFonts w:ascii="宋体" w:hAnsi="宋体" w:eastAsia="宋体" w:cs="宋体"/>
          <w:sz w:val="24"/>
        </w:rPr>
        <w:t>025</w:t>
      </w:r>
      <w:r>
        <w:rPr>
          <w:rFonts w:hint="eastAsia" w:ascii="宋体" w:hAnsi="宋体" w:eastAsia="宋体" w:cs="宋体"/>
          <w:sz w:val="24"/>
        </w:rPr>
        <w:t>年</w:t>
      </w:r>
      <w:r>
        <w:rPr>
          <w:rFonts w:hint="eastAsia" w:ascii="宋体" w:hAnsi="宋体" w:eastAsia="宋体" w:cs="宋体"/>
          <w:sz w:val="24"/>
          <w:lang w:val="en-US" w:eastAsia="zh-CN"/>
        </w:rPr>
        <w:t>8</w:t>
      </w:r>
      <w:r>
        <w:rPr>
          <w:rFonts w:hint="eastAsia" w:ascii="宋体" w:hAnsi="宋体" w:eastAsia="宋体" w:cs="宋体"/>
          <w:sz w:val="24"/>
        </w:rPr>
        <w:t>月中国电子商务用户体验与投诉数据报告》，以窥见当前电商平台消</w:t>
      </w:r>
      <w:bookmarkStart w:id="146" w:name="_GoBack"/>
      <w:bookmarkEnd w:id="146"/>
      <w:r>
        <w:rPr>
          <w:rFonts w:hint="eastAsia" w:ascii="宋体" w:hAnsi="宋体" w:eastAsia="宋体" w:cs="宋体"/>
          <w:sz w:val="24"/>
        </w:rPr>
        <w:t>费者困境。</w:t>
      </w:r>
    </w:p>
    <w:p w14:paraId="65323F79">
      <w:pPr>
        <w:spacing w:before="156" w:beforeLines="50" w:line="360" w:lineRule="auto"/>
        <w:ind w:firstLine="480" w:firstLineChars="200"/>
        <w:jc w:val="left"/>
        <w:rPr>
          <w:rFonts w:ascii="宋体" w:hAnsi="宋体" w:eastAsia="宋体" w:cs="宋体"/>
          <w:sz w:val="24"/>
        </w:rPr>
      </w:pPr>
      <w:r>
        <w:rPr>
          <w:rFonts w:hint="eastAsia" w:ascii="宋体" w:hAnsi="宋体" w:eastAsia="宋体" w:cs="宋体"/>
          <w:sz w:val="24"/>
        </w:rPr>
        <w:t>报告涉及了</w:t>
      </w:r>
      <w:r>
        <w:rPr>
          <w:rFonts w:hint="eastAsia" w:ascii="宋体" w:hAnsi="宋体" w:eastAsia="宋体" w:cs="宋体"/>
          <w:b/>
          <w:bCs/>
          <w:sz w:val="24"/>
        </w:rPr>
        <w:t>数字零售、生活服务电商及跨境电商</w:t>
      </w:r>
      <w:r>
        <w:rPr>
          <w:rFonts w:hint="eastAsia" w:ascii="宋体" w:hAnsi="宋体" w:eastAsia="宋体" w:cs="宋体"/>
          <w:sz w:val="24"/>
        </w:rPr>
        <w:t>三大板块。公布了</w:t>
      </w:r>
      <w:r>
        <w:rPr>
          <w:rFonts w:hint="eastAsia" w:ascii="宋体" w:hAnsi="宋体" w:eastAsia="宋体" w:cs="宋体"/>
          <w:sz w:val="24"/>
          <w:lang w:val="en-US" w:eastAsia="zh-CN"/>
        </w:rPr>
        <w:t>8</w:t>
      </w:r>
      <w:r>
        <w:rPr>
          <w:rFonts w:hint="eastAsia" w:ascii="宋体" w:hAnsi="宋体" w:eastAsia="宋体" w:cs="宋体"/>
          <w:sz w:val="24"/>
        </w:rPr>
        <w:t>月网络消费投诉数据及《202</w:t>
      </w:r>
      <w:r>
        <w:rPr>
          <w:rFonts w:ascii="宋体" w:hAnsi="宋体" w:eastAsia="宋体" w:cs="宋体"/>
          <w:sz w:val="24"/>
        </w:rPr>
        <w:t>5</w:t>
      </w:r>
      <w:r>
        <w:rPr>
          <w:rFonts w:hint="eastAsia" w:ascii="宋体" w:hAnsi="宋体" w:eastAsia="宋体" w:cs="宋体"/>
          <w:sz w:val="24"/>
        </w:rPr>
        <w:t>年</w:t>
      </w:r>
      <w:r>
        <w:rPr>
          <w:rFonts w:hint="eastAsia" w:ascii="宋体" w:hAnsi="宋体" w:eastAsia="宋体" w:cs="宋体"/>
          <w:sz w:val="24"/>
          <w:lang w:val="en-US" w:eastAsia="zh-CN"/>
        </w:rPr>
        <w:t>8</w:t>
      </w:r>
      <w:r>
        <w:rPr>
          <w:rFonts w:hint="eastAsia" w:ascii="宋体" w:hAnsi="宋体" w:eastAsia="宋体" w:cs="宋体"/>
          <w:sz w:val="24"/>
        </w:rPr>
        <w:t>月数字零售十大典型投诉案例》《202</w:t>
      </w:r>
      <w:r>
        <w:rPr>
          <w:rFonts w:ascii="宋体" w:hAnsi="宋体" w:eastAsia="宋体" w:cs="宋体"/>
          <w:sz w:val="24"/>
        </w:rPr>
        <w:t>5</w:t>
      </w:r>
      <w:r>
        <w:rPr>
          <w:rFonts w:hint="eastAsia" w:ascii="宋体" w:hAnsi="宋体" w:eastAsia="宋体" w:cs="宋体"/>
          <w:sz w:val="24"/>
        </w:rPr>
        <w:t xml:space="preserve"> 年</w:t>
      </w:r>
      <w:r>
        <w:rPr>
          <w:rFonts w:hint="eastAsia" w:ascii="宋体" w:hAnsi="宋体" w:eastAsia="宋体" w:cs="宋体"/>
          <w:sz w:val="24"/>
          <w:lang w:val="en-US" w:eastAsia="zh-CN"/>
        </w:rPr>
        <w:t>8</w:t>
      </w:r>
      <w:r>
        <w:rPr>
          <w:rFonts w:hint="eastAsia" w:ascii="宋体" w:hAnsi="宋体" w:eastAsia="宋体" w:cs="宋体"/>
          <w:sz w:val="24"/>
        </w:rPr>
        <w:t>月生活服务电商十大典型投诉案例》和《202</w:t>
      </w:r>
      <w:r>
        <w:rPr>
          <w:rFonts w:ascii="宋体" w:hAnsi="宋体" w:eastAsia="宋体" w:cs="宋体"/>
          <w:sz w:val="24"/>
        </w:rPr>
        <w:t>5</w:t>
      </w:r>
      <w:r>
        <w:rPr>
          <w:rFonts w:hint="eastAsia" w:ascii="宋体" w:hAnsi="宋体" w:eastAsia="宋体" w:cs="宋体"/>
          <w:sz w:val="24"/>
        </w:rPr>
        <w:t>年</w:t>
      </w:r>
      <w:r>
        <w:rPr>
          <w:rFonts w:hint="eastAsia" w:ascii="宋体" w:hAnsi="宋体" w:eastAsia="宋体" w:cs="宋体"/>
          <w:sz w:val="24"/>
          <w:lang w:val="en-US" w:eastAsia="zh-CN"/>
        </w:rPr>
        <w:t>8</w:t>
      </w:r>
      <w:r>
        <w:rPr>
          <w:rFonts w:hint="eastAsia" w:ascii="宋体" w:hAnsi="宋体" w:eastAsia="宋体" w:cs="宋体"/>
          <w:sz w:val="24"/>
        </w:rPr>
        <w:t>月跨境电商十大典型投诉案例》。</w:t>
      </w:r>
    </w:p>
    <w:p w14:paraId="53B9E790">
      <w:pPr>
        <w:pStyle w:val="2"/>
        <w:spacing w:line="360" w:lineRule="auto"/>
        <w:jc w:val="left"/>
        <w:rPr>
          <w:rFonts w:ascii="微软雅黑" w:hAnsi="微软雅黑" w:eastAsia="微软雅黑" w:cs="微软雅黑"/>
          <w:sz w:val="32"/>
          <w:szCs w:val="32"/>
        </w:rPr>
      </w:pPr>
      <w:bookmarkStart w:id="4" w:name="_Toc4190"/>
      <w:r>
        <w:rPr>
          <w:rFonts w:hint="eastAsia" w:ascii="微软雅黑" w:hAnsi="微软雅黑" w:eastAsia="微软雅黑" w:cs="微软雅黑"/>
          <w:sz w:val="32"/>
          <w:szCs w:val="32"/>
        </w:rPr>
        <w:t>二、整体数据</w:t>
      </w:r>
      <w:bookmarkEnd w:id="4"/>
    </w:p>
    <w:bookmarkEnd w:id="2"/>
    <w:bookmarkEnd w:id="3"/>
    <w:p w14:paraId="1DF55AA7">
      <w:pPr>
        <w:pStyle w:val="3"/>
        <w:spacing w:line="360" w:lineRule="auto"/>
        <w:jc w:val="left"/>
      </w:pPr>
      <w:bookmarkStart w:id="5" w:name="_Toc21630"/>
      <w:bookmarkStart w:id="6" w:name="_Toc27903"/>
      <w:r>
        <w:rPr>
          <w:rFonts w:hint="eastAsia"/>
        </w:rPr>
        <w:t>（一）</w:t>
      </w:r>
      <w:bookmarkEnd w:id="5"/>
      <w:r>
        <w:rPr>
          <w:rFonts w:hint="eastAsia"/>
        </w:rPr>
        <w:t>投诉问题类型分布</w:t>
      </w:r>
      <w:bookmarkEnd w:id="6"/>
    </w:p>
    <w:p w14:paraId="68A37C40">
      <w:pPr>
        <w:spacing w:before="156" w:beforeLines="50" w:line="360" w:lineRule="auto"/>
        <w:ind w:firstLine="480" w:firstLineChars="200"/>
        <w:jc w:val="left"/>
        <w:rPr>
          <w:rFonts w:ascii="宋体" w:hAnsi="宋体" w:eastAsia="宋体" w:cs="宋体"/>
          <w:sz w:val="24"/>
        </w:rPr>
      </w:pPr>
      <w:r>
        <w:rPr>
          <w:rFonts w:hint="eastAsia" w:ascii="宋体" w:hAnsi="宋体" w:eastAsia="宋体" w:cs="宋体"/>
          <w:sz w:val="24"/>
        </w:rPr>
        <w:t>据“电诉宝”显示，</w:t>
      </w:r>
      <w:r>
        <w:rPr>
          <w:rFonts w:hint="eastAsia" w:ascii="宋体" w:hAnsi="宋体" w:eastAsia="宋体" w:cs="宋体"/>
          <w:sz w:val="24"/>
          <w:lang w:val="en-US" w:eastAsia="zh-CN"/>
        </w:rPr>
        <w:t>8</w:t>
      </w:r>
      <w:r>
        <w:rPr>
          <w:rFonts w:hint="eastAsia" w:ascii="宋体" w:hAnsi="宋体" w:eastAsia="宋体" w:cs="宋体"/>
          <w:sz w:val="24"/>
        </w:rPr>
        <w:t>月全国网络消费投诉问题类型</w:t>
      </w:r>
      <w:r>
        <w:rPr>
          <w:rFonts w:hint="eastAsia" w:ascii="宋体" w:hAnsi="宋体" w:eastAsia="宋体" w:cs="宋体"/>
          <w:b/>
          <w:bCs/>
          <w:sz w:val="24"/>
        </w:rPr>
        <w:t>TOP10</w:t>
      </w:r>
      <w:r>
        <w:rPr>
          <w:rFonts w:hint="eastAsia" w:ascii="宋体" w:hAnsi="宋体" w:eastAsia="宋体" w:cs="宋体"/>
          <w:sz w:val="24"/>
        </w:rPr>
        <w:t>中，</w:t>
      </w:r>
      <w:r>
        <w:rPr>
          <w:rFonts w:hint="eastAsia" w:ascii="宋体" w:hAnsi="宋体" w:eastAsia="宋体" w:cs="宋体"/>
          <w:b/>
          <w:bCs/>
          <w:sz w:val="24"/>
        </w:rPr>
        <w:t>退款问题</w:t>
      </w:r>
      <w:r>
        <w:rPr>
          <w:rFonts w:hint="eastAsia" w:ascii="宋体" w:hAnsi="宋体" w:eastAsia="宋体" w:cs="宋体"/>
          <w:sz w:val="24"/>
        </w:rPr>
        <w:t>占比高达</w:t>
      </w:r>
      <w:r>
        <w:rPr>
          <w:rFonts w:ascii="宋体" w:hAnsi="宋体" w:eastAsia="宋体" w:cs="宋体"/>
          <w:b/>
          <w:bCs/>
          <w:sz w:val="24"/>
        </w:rPr>
        <w:t>18.</w:t>
      </w:r>
      <w:r>
        <w:rPr>
          <w:rFonts w:hint="eastAsia" w:ascii="宋体" w:hAnsi="宋体" w:eastAsia="宋体" w:cs="宋体"/>
          <w:b/>
          <w:bCs/>
          <w:sz w:val="24"/>
          <w:lang w:val="en-US" w:eastAsia="zh-CN"/>
        </w:rPr>
        <w:t>96</w:t>
      </w:r>
      <w:r>
        <w:rPr>
          <w:rFonts w:hint="eastAsia" w:ascii="宋体" w:hAnsi="宋体" w:eastAsia="宋体" w:cs="宋体"/>
          <w:b/>
          <w:bCs/>
          <w:sz w:val="24"/>
        </w:rPr>
        <w:t>%</w:t>
      </w:r>
      <w:r>
        <w:rPr>
          <w:rFonts w:hint="eastAsia" w:ascii="宋体" w:hAnsi="宋体" w:eastAsia="宋体" w:cs="宋体"/>
          <w:sz w:val="24"/>
        </w:rPr>
        <w:t>，其余问题类型依次为</w:t>
      </w:r>
      <w:r>
        <w:rPr>
          <w:rFonts w:hint="eastAsia" w:ascii="宋体" w:hAnsi="宋体" w:eastAsia="宋体" w:cs="宋体"/>
          <w:sz w:val="24"/>
          <w:lang w:val="en-US" w:eastAsia="zh-CN"/>
        </w:rPr>
        <w:t>任意仅退款</w:t>
      </w:r>
      <w:r>
        <w:rPr>
          <w:rFonts w:hint="eastAsia" w:ascii="宋体" w:hAnsi="宋体" w:eastAsia="宋体" w:cs="宋体"/>
          <w:sz w:val="24"/>
        </w:rPr>
        <w:t>（</w:t>
      </w:r>
      <w:r>
        <w:rPr>
          <w:rFonts w:hint="eastAsia" w:ascii="宋体" w:hAnsi="宋体" w:eastAsia="宋体" w:cs="宋体"/>
          <w:sz w:val="24"/>
          <w:lang w:val="en-US" w:eastAsia="zh-CN"/>
        </w:rPr>
        <w:t>15</w:t>
      </w:r>
      <w:r>
        <w:rPr>
          <w:rFonts w:ascii="宋体" w:hAnsi="宋体" w:eastAsia="宋体" w:cs="宋体"/>
          <w:sz w:val="24"/>
        </w:rPr>
        <w:t>.</w:t>
      </w:r>
      <w:r>
        <w:rPr>
          <w:rFonts w:hint="eastAsia" w:ascii="宋体" w:hAnsi="宋体" w:eastAsia="宋体" w:cs="宋体"/>
          <w:sz w:val="24"/>
          <w:lang w:val="en-US" w:eastAsia="zh-CN"/>
        </w:rPr>
        <w:t>45</w:t>
      </w:r>
      <w:r>
        <w:rPr>
          <w:rFonts w:hint="eastAsia" w:ascii="宋体" w:hAnsi="宋体" w:eastAsia="宋体" w:cs="宋体"/>
          <w:sz w:val="24"/>
        </w:rPr>
        <w:t>%）、</w:t>
      </w:r>
      <w:r>
        <w:rPr>
          <w:rFonts w:hint="eastAsia" w:ascii="宋体" w:hAnsi="宋体" w:eastAsia="宋体" w:cs="宋体"/>
          <w:sz w:val="24"/>
          <w:lang w:val="en-US" w:eastAsia="zh-CN"/>
        </w:rPr>
        <w:t>商品质量</w:t>
      </w:r>
      <w:r>
        <w:rPr>
          <w:rFonts w:hint="eastAsia" w:ascii="宋体" w:hAnsi="宋体" w:eastAsia="宋体" w:cs="宋体"/>
          <w:sz w:val="24"/>
        </w:rPr>
        <w:t>（</w:t>
      </w:r>
      <w:r>
        <w:rPr>
          <w:rFonts w:ascii="宋体" w:hAnsi="宋体" w:eastAsia="宋体" w:cs="宋体"/>
          <w:sz w:val="24"/>
        </w:rPr>
        <w:t>6.</w:t>
      </w:r>
      <w:r>
        <w:rPr>
          <w:rFonts w:hint="eastAsia" w:ascii="宋体" w:hAnsi="宋体" w:eastAsia="宋体" w:cs="宋体"/>
          <w:sz w:val="24"/>
          <w:lang w:val="en-US" w:eastAsia="zh-CN"/>
        </w:rPr>
        <w:t>66</w:t>
      </w:r>
      <w:r>
        <w:rPr>
          <w:rFonts w:hint="eastAsia" w:ascii="宋体" w:hAnsi="宋体" w:eastAsia="宋体" w:cs="宋体"/>
          <w:sz w:val="24"/>
        </w:rPr>
        <w:t>%）、</w:t>
      </w:r>
      <w:r>
        <w:rPr>
          <w:rFonts w:hint="eastAsia" w:ascii="宋体" w:hAnsi="宋体" w:eastAsia="宋体" w:cs="宋体"/>
          <w:sz w:val="24"/>
          <w:lang w:val="en-US" w:eastAsia="zh-CN"/>
        </w:rPr>
        <w:t>任意罚款</w:t>
      </w:r>
      <w:r>
        <w:rPr>
          <w:rFonts w:hint="eastAsia" w:ascii="宋体" w:hAnsi="宋体" w:eastAsia="宋体" w:cs="宋体"/>
          <w:sz w:val="24"/>
        </w:rPr>
        <w:t>（</w:t>
      </w:r>
      <w:r>
        <w:rPr>
          <w:rFonts w:hint="eastAsia" w:ascii="宋体" w:hAnsi="宋体" w:eastAsia="宋体" w:cs="宋体"/>
          <w:sz w:val="24"/>
          <w:lang w:val="en-US" w:eastAsia="zh-CN"/>
        </w:rPr>
        <w:t>6</w:t>
      </w:r>
      <w:r>
        <w:rPr>
          <w:rFonts w:ascii="宋体" w:hAnsi="宋体" w:eastAsia="宋体" w:cs="宋体"/>
          <w:sz w:val="24"/>
        </w:rPr>
        <w:t>.</w:t>
      </w:r>
      <w:r>
        <w:rPr>
          <w:rFonts w:hint="eastAsia" w:ascii="宋体" w:hAnsi="宋体" w:eastAsia="宋体" w:cs="宋体"/>
          <w:sz w:val="24"/>
          <w:lang w:val="en-US" w:eastAsia="zh-CN"/>
        </w:rPr>
        <w:t>38</w:t>
      </w:r>
      <w:r>
        <w:rPr>
          <w:rFonts w:hint="eastAsia" w:ascii="宋体" w:hAnsi="宋体" w:eastAsia="宋体" w:cs="宋体"/>
          <w:sz w:val="24"/>
        </w:rPr>
        <w:t>%）</w:t>
      </w:r>
      <w:r>
        <w:rPr>
          <w:rFonts w:hint="eastAsia" w:ascii="宋体" w:hAnsi="宋体" w:eastAsia="宋体" w:cs="宋体"/>
          <w:sz w:val="24"/>
          <w:lang w:val="en-US" w:eastAsia="zh-CN"/>
        </w:rPr>
        <w:t>网络欺诈</w:t>
      </w:r>
      <w:r>
        <w:rPr>
          <w:rFonts w:hint="eastAsia" w:ascii="宋体" w:hAnsi="宋体" w:eastAsia="宋体" w:cs="宋体"/>
          <w:sz w:val="24"/>
        </w:rPr>
        <w:t>（</w:t>
      </w:r>
      <w:r>
        <w:rPr>
          <w:rFonts w:hint="eastAsia" w:ascii="宋体" w:hAnsi="宋体" w:eastAsia="宋体" w:cs="宋体"/>
          <w:sz w:val="24"/>
          <w:lang w:val="en-US" w:eastAsia="zh-CN"/>
        </w:rPr>
        <w:t>6.01</w:t>
      </w:r>
      <w:r>
        <w:rPr>
          <w:rFonts w:hint="eastAsia" w:ascii="宋体" w:hAnsi="宋体" w:eastAsia="宋体" w:cs="宋体"/>
          <w:sz w:val="24"/>
        </w:rPr>
        <w:t>%）、</w:t>
      </w:r>
      <w:r>
        <w:rPr>
          <w:rFonts w:hint="eastAsia" w:ascii="宋体" w:hAnsi="宋体" w:eastAsia="宋体" w:cs="宋体"/>
          <w:sz w:val="24"/>
          <w:lang w:val="en-US" w:eastAsia="zh-CN"/>
        </w:rPr>
        <w:t>扣押保证金</w:t>
      </w:r>
      <w:r>
        <w:rPr>
          <w:rFonts w:hint="eastAsia" w:ascii="宋体" w:hAnsi="宋体" w:eastAsia="宋体" w:cs="宋体"/>
          <w:sz w:val="24"/>
        </w:rPr>
        <w:t>（</w:t>
      </w:r>
      <w:r>
        <w:rPr>
          <w:rFonts w:hint="eastAsia" w:ascii="宋体" w:hAnsi="宋体" w:eastAsia="宋体" w:cs="宋体"/>
          <w:sz w:val="24"/>
          <w:lang w:val="en-US" w:eastAsia="zh-CN"/>
        </w:rPr>
        <w:t>4.25</w:t>
      </w:r>
      <w:r>
        <w:rPr>
          <w:rFonts w:hint="eastAsia" w:ascii="宋体" w:hAnsi="宋体" w:eastAsia="宋体" w:cs="宋体"/>
          <w:sz w:val="24"/>
        </w:rPr>
        <w:t>%）、</w:t>
      </w:r>
      <w:r>
        <w:rPr>
          <w:rFonts w:hint="eastAsia" w:ascii="宋体" w:hAnsi="宋体" w:eastAsia="宋体" w:cs="宋体"/>
          <w:sz w:val="24"/>
          <w:lang w:val="en-US" w:eastAsia="zh-CN"/>
        </w:rPr>
        <w:t>过度维护消费者</w:t>
      </w:r>
      <w:r>
        <w:rPr>
          <w:rFonts w:hint="eastAsia" w:ascii="宋体" w:hAnsi="宋体" w:eastAsia="宋体" w:cs="宋体"/>
          <w:sz w:val="24"/>
        </w:rPr>
        <w:t>（</w:t>
      </w:r>
      <w:r>
        <w:rPr>
          <w:rFonts w:hint="eastAsia" w:ascii="宋体" w:hAnsi="宋体" w:eastAsia="宋体" w:cs="宋体"/>
          <w:sz w:val="24"/>
          <w:lang w:val="en-US" w:eastAsia="zh-CN"/>
        </w:rPr>
        <w:t>3.88</w:t>
      </w:r>
      <w:r>
        <w:rPr>
          <w:rFonts w:hint="eastAsia" w:ascii="宋体" w:hAnsi="宋体" w:eastAsia="宋体" w:cs="宋体"/>
          <w:sz w:val="24"/>
        </w:rPr>
        <w:t>%）、</w:t>
      </w:r>
      <w:r>
        <w:rPr>
          <w:rFonts w:hint="eastAsia" w:ascii="宋体" w:hAnsi="宋体" w:eastAsia="宋体" w:cs="宋体"/>
          <w:sz w:val="24"/>
          <w:lang w:val="en-US" w:eastAsia="zh-CN"/>
        </w:rPr>
        <w:t>售后服务</w:t>
      </w:r>
      <w:r>
        <w:rPr>
          <w:rFonts w:hint="eastAsia" w:ascii="宋体" w:hAnsi="宋体" w:eastAsia="宋体" w:cs="宋体"/>
          <w:sz w:val="24"/>
        </w:rPr>
        <w:t>（</w:t>
      </w:r>
      <w:r>
        <w:rPr>
          <w:rFonts w:hint="eastAsia" w:ascii="宋体" w:hAnsi="宋体" w:eastAsia="宋体" w:cs="宋体"/>
          <w:sz w:val="24"/>
          <w:lang w:val="en-US" w:eastAsia="zh-CN"/>
        </w:rPr>
        <w:t>3.79</w:t>
      </w:r>
      <w:r>
        <w:rPr>
          <w:rFonts w:hint="eastAsia" w:ascii="宋体" w:hAnsi="宋体" w:eastAsia="宋体" w:cs="宋体"/>
          <w:sz w:val="24"/>
        </w:rPr>
        <w:t>%）、</w:t>
      </w:r>
      <w:r>
        <w:rPr>
          <w:rFonts w:hint="eastAsia" w:ascii="宋体" w:hAnsi="宋体" w:eastAsia="宋体" w:cs="宋体"/>
          <w:sz w:val="24"/>
          <w:lang w:val="en-US" w:eastAsia="zh-CN"/>
        </w:rPr>
        <w:t>网络售假</w:t>
      </w:r>
      <w:r>
        <w:rPr>
          <w:rFonts w:hint="eastAsia" w:ascii="宋体" w:hAnsi="宋体" w:eastAsia="宋体" w:cs="宋体"/>
          <w:sz w:val="24"/>
        </w:rPr>
        <w:t>（</w:t>
      </w:r>
      <w:r>
        <w:rPr>
          <w:rFonts w:hint="eastAsia" w:ascii="宋体" w:hAnsi="宋体" w:eastAsia="宋体" w:cs="宋体"/>
          <w:sz w:val="24"/>
          <w:lang w:val="en-US" w:eastAsia="zh-CN"/>
        </w:rPr>
        <w:t>3.42</w:t>
      </w:r>
      <w:r>
        <w:rPr>
          <w:rFonts w:hint="eastAsia" w:ascii="宋体" w:hAnsi="宋体" w:eastAsia="宋体" w:cs="宋体"/>
          <w:sz w:val="24"/>
        </w:rPr>
        <w:t>%）、</w:t>
      </w:r>
      <w:r>
        <w:rPr>
          <w:rFonts w:hint="eastAsia" w:ascii="宋体" w:hAnsi="宋体" w:eastAsia="宋体" w:cs="宋体"/>
          <w:sz w:val="24"/>
          <w:lang w:val="en-US" w:eastAsia="zh-CN"/>
        </w:rPr>
        <w:t>霸王条款</w:t>
      </w:r>
      <w:r>
        <w:rPr>
          <w:rFonts w:hint="eastAsia" w:ascii="宋体" w:hAnsi="宋体" w:eastAsia="宋体" w:cs="宋体"/>
          <w:sz w:val="24"/>
        </w:rPr>
        <w:t>（</w:t>
      </w:r>
      <w:r>
        <w:rPr>
          <w:rFonts w:hint="eastAsia" w:ascii="宋体" w:hAnsi="宋体" w:eastAsia="宋体" w:cs="宋体"/>
          <w:sz w:val="24"/>
          <w:lang w:val="en-US" w:eastAsia="zh-CN"/>
        </w:rPr>
        <w:t>3.33</w:t>
      </w:r>
      <w:r>
        <w:rPr>
          <w:rFonts w:ascii="宋体" w:hAnsi="宋体" w:eastAsia="宋体" w:cs="宋体"/>
          <w:sz w:val="24"/>
        </w:rPr>
        <w:t>%</w:t>
      </w:r>
      <w:r>
        <w:rPr>
          <w:rFonts w:hint="eastAsia" w:ascii="宋体" w:hAnsi="宋体" w:eastAsia="宋体" w:cs="宋体"/>
          <w:sz w:val="24"/>
        </w:rPr>
        <w:t>）、</w:t>
      </w:r>
      <w:r>
        <w:rPr>
          <w:rFonts w:hint="eastAsia" w:ascii="宋体" w:hAnsi="宋体" w:eastAsia="宋体" w:cs="宋体"/>
          <w:sz w:val="24"/>
          <w:lang w:val="en-US" w:eastAsia="zh-CN"/>
        </w:rPr>
        <w:t>发货问题</w:t>
      </w:r>
      <w:r>
        <w:rPr>
          <w:rFonts w:hint="eastAsia" w:ascii="宋体" w:hAnsi="宋体" w:eastAsia="宋体" w:cs="宋体"/>
          <w:sz w:val="24"/>
        </w:rPr>
        <w:t>（</w:t>
      </w:r>
      <w:r>
        <w:rPr>
          <w:rFonts w:hint="eastAsia" w:ascii="宋体" w:hAnsi="宋体" w:eastAsia="宋体" w:cs="宋体"/>
          <w:sz w:val="24"/>
          <w:lang w:val="en-US" w:eastAsia="zh-CN"/>
        </w:rPr>
        <w:t>2.31</w:t>
      </w:r>
      <w:r>
        <w:rPr>
          <w:rFonts w:ascii="宋体" w:hAnsi="宋体" w:eastAsia="宋体" w:cs="宋体"/>
          <w:sz w:val="24"/>
        </w:rPr>
        <w:t>%</w:t>
      </w:r>
      <w:r>
        <w:rPr>
          <w:rFonts w:hint="eastAsia" w:ascii="宋体" w:hAnsi="宋体" w:eastAsia="宋体" w:cs="宋体"/>
          <w:sz w:val="24"/>
        </w:rPr>
        <w:t>）。</w:t>
      </w:r>
    </w:p>
    <w:p w14:paraId="67871DA3">
      <w:pPr>
        <w:spacing w:before="156" w:beforeLines="50" w:line="360" w:lineRule="auto"/>
        <w:jc w:val="left"/>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5271135" cy="3564890"/>
            <wp:effectExtent l="0" t="0" r="5715" b="16510"/>
            <wp:docPr id="7" name="图片 7" descr="屏幕截图 2025-09-03 13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屏幕截图 2025-09-03 133813"/>
                    <pic:cNvPicPr>
                      <a:picLocks noChangeAspect="1"/>
                    </pic:cNvPicPr>
                  </pic:nvPicPr>
                  <pic:blipFill>
                    <a:blip r:embed="rId7"/>
                    <a:stretch>
                      <a:fillRect/>
                    </a:stretch>
                  </pic:blipFill>
                  <pic:spPr>
                    <a:xfrm>
                      <a:off x="0" y="0"/>
                      <a:ext cx="5271135" cy="3564890"/>
                    </a:xfrm>
                    <a:prstGeom prst="rect">
                      <a:avLst/>
                    </a:prstGeom>
                  </pic:spPr>
                </pic:pic>
              </a:graphicData>
            </a:graphic>
          </wp:inline>
        </w:drawing>
      </w:r>
    </w:p>
    <w:p w14:paraId="62E29D4E">
      <w:pPr>
        <w:pStyle w:val="3"/>
        <w:spacing w:line="360" w:lineRule="auto"/>
        <w:jc w:val="left"/>
      </w:pPr>
      <w:bookmarkStart w:id="7" w:name="_Toc17807"/>
      <w:bookmarkStart w:id="8" w:name="_Toc27936"/>
      <w:r>
        <w:rPr>
          <w:rFonts w:hint="eastAsia"/>
        </w:rPr>
        <w:t>（二）投诉地区分布</w:t>
      </w:r>
      <w:bookmarkEnd w:id="7"/>
      <w:bookmarkEnd w:id="8"/>
    </w:p>
    <w:p w14:paraId="2AB9B56B">
      <w:pPr>
        <w:spacing w:before="156" w:beforeLines="50" w:line="360" w:lineRule="auto"/>
        <w:ind w:firstLine="480" w:firstLineChars="200"/>
        <w:jc w:val="left"/>
        <w:rPr>
          <w:rFonts w:ascii="宋体" w:hAnsi="宋体" w:eastAsia="宋体" w:cs="宋体"/>
          <w:sz w:val="24"/>
        </w:rPr>
      </w:pPr>
      <w:r>
        <w:rPr>
          <w:rFonts w:hint="eastAsia" w:ascii="宋体" w:hAnsi="宋体" w:eastAsia="宋体" w:cs="宋体"/>
          <w:sz w:val="24"/>
          <w:lang w:val="en-US" w:eastAsia="zh-CN"/>
        </w:rPr>
        <w:t>8</w:t>
      </w:r>
      <w:r>
        <w:rPr>
          <w:rFonts w:hint="eastAsia" w:ascii="宋体" w:hAnsi="宋体" w:eastAsia="宋体" w:cs="宋体"/>
          <w:sz w:val="24"/>
        </w:rPr>
        <w:t>月，“电诉宝”受理投诉用户聚集地区</w:t>
      </w:r>
      <w:r>
        <w:rPr>
          <w:rFonts w:hint="eastAsia" w:ascii="宋体" w:hAnsi="宋体" w:eastAsia="宋体" w:cs="宋体"/>
          <w:b/>
          <w:bCs/>
          <w:sz w:val="24"/>
        </w:rPr>
        <w:t>TOP10</w:t>
      </w:r>
      <w:r>
        <w:rPr>
          <w:rFonts w:hint="eastAsia" w:ascii="宋体" w:hAnsi="宋体" w:eastAsia="宋体" w:cs="宋体"/>
          <w:sz w:val="24"/>
        </w:rPr>
        <w:t>依次为</w:t>
      </w:r>
      <w:r>
        <w:rPr>
          <w:rFonts w:hint="eastAsia" w:ascii="宋体" w:hAnsi="宋体" w:eastAsia="宋体" w:cs="宋体"/>
          <w:b/>
          <w:bCs/>
          <w:sz w:val="24"/>
        </w:rPr>
        <w:t>广东省（</w:t>
      </w:r>
      <w:r>
        <w:rPr>
          <w:rFonts w:hint="eastAsia" w:ascii="宋体" w:hAnsi="宋体" w:eastAsia="宋体" w:cs="宋体"/>
          <w:b/>
          <w:bCs/>
          <w:sz w:val="24"/>
          <w:lang w:val="en-US" w:eastAsia="zh-CN"/>
        </w:rPr>
        <w:t>23.31</w:t>
      </w:r>
      <w:r>
        <w:rPr>
          <w:rFonts w:hint="eastAsia" w:ascii="宋体" w:hAnsi="宋体" w:eastAsia="宋体" w:cs="宋体"/>
          <w:b/>
          <w:bCs/>
          <w:sz w:val="24"/>
        </w:rPr>
        <w:t>%）、江苏省（</w:t>
      </w:r>
      <w:r>
        <w:rPr>
          <w:rFonts w:hint="eastAsia" w:ascii="宋体" w:hAnsi="宋体" w:eastAsia="宋体" w:cs="宋体"/>
          <w:b/>
          <w:bCs/>
          <w:sz w:val="24"/>
          <w:lang w:val="en-US" w:eastAsia="zh-CN"/>
        </w:rPr>
        <w:t>7.40</w:t>
      </w:r>
      <w:r>
        <w:rPr>
          <w:rFonts w:hint="eastAsia" w:ascii="宋体" w:hAnsi="宋体" w:eastAsia="宋体" w:cs="宋体"/>
          <w:b/>
          <w:bCs/>
          <w:sz w:val="24"/>
        </w:rPr>
        <w:t>%）、浙江省（</w:t>
      </w:r>
      <w:r>
        <w:rPr>
          <w:rFonts w:hint="eastAsia" w:ascii="宋体" w:hAnsi="宋体" w:eastAsia="宋体" w:cs="宋体"/>
          <w:b/>
          <w:bCs/>
          <w:sz w:val="24"/>
          <w:lang w:val="en-US" w:eastAsia="zh-CN"/>
        </w:rPr>
        <w:t>7.22</w:t>
      </w:r>
      <w:r>
        <w:rPr>
          <w:rFonts w:hint="eastAsia" w:ascii="宋体" w:hAnsi="宋体" w:eastAsia="宋体" w:cs="宋体"/>
          <w:b/>
          <w:bCs/>
          <w:sz w:val="24"/>
        </w:rPr>
        <w:t>%）、山东省（</w:t>
      </w:r>
      <w:r>
        <w:rPr>
          <w:rFonts w:hint="eastAsia" w:ascii="宋体" w:hAnsi="宋体" w:eastAsia="宋体" w:cs="宋体"/>
          <w:b/>
          <w:bCs/>
          <w:sz w:val="24"/>
          <w:lang w:val="en-US" w:eastAsia="zh-CN"/>
        </w:rPr>
        <w:t>6.20</w:t>
      </w:r>
      <w:r>
        <w:rPr>
          <w:rFonts w:hint="eastAsia" w:ascii="宋体" w:hAnsi="宋体" w:eastAsia="宋体" w:cs="宋体"/>
          <w:b/>
          <w:bCs/>
          <w:sz w:val="24"/>
        </w:rPr>
        <w:t>%）、</w:t>
      </w:r>
      <w:r>
        <w:rPr>
          <w:rFonts w:hint="eastAsia" w:ascii="宋体" w:hAnsi="宋体" w:eastAsia="宋体" w:cs="宋体"/>
          <w:sz w:val="24"/>
        </w:rPr>
        <w:t>河北省（</w:t>
      </w:r>
      <w:r>
        <w:rPr>
          <w:rFonts w:hint="eastAsia" w:ascii="宋体" w:hAnsi="宋体" w:eastAsia="宋体" w:cs="宋体"/>
          <w:sz w:val="24"/>
          <w:lang w:val="en-US" w:eastAsia="zh-CN"/>
        </w:rPr>
        <w:t>5.00</w:t>
      </w:r>
      <w:r>
        <w:rPr>
          <w:rFonts w:hint="eastAsia" w:ascii="宋体" w:hAnsi="宋体" w:eastAsia="宋体" w:cs="宋体"/>
          <w:sz w:val="24"/>
        </w:rPr>
        <w:t>%）、河南省（</w:t>
      </w:r>
      <w:r>
        <w:rPr>
          <w:rFonts w:hint="eastAsia" w:ascii="宋体" w:hAnsi="宋体" w:eastAsia="宋体" w:cs="宋体"/>
          <w:sz w:val="24"/>
          <w:lang w:val="en-US" w:eastAsia="zh-CN"/>
        </w:rPr>
        <w:t>4.81</w:t>
      </w:r>
      <w:r>
        <w:rPr>
          <w:rFonts w:hint="eastAsia" w:ascii="宋体" w:hAnsi="宋体" w:eastAsia="宋体" w:cs="宋体"/>
          <w:sz w:val="24"/>
        </w:rPr>
        <w:t>%）、福建省（</w:t>
      </w:r>
      <w:r>
        <w:rPr>
          <w:rFonts w:hint="eastAsia" w:ascii="宋体" w:hAnsi="宋体" w:eastAsia="宋体" w:cs="宋体"/>
          <w:sz w:val="24"/>
          <w:lang w:val="en-US" w:eastAsia="zh-CN"/>
        </w:rPr>
        <w:t>4.53</w:t>
      </w:r>
      <w:r>
        <w:rPr>
          <w:rFonts w:hint="eastAsia" w:ascii="宋体" w:hAnsi="宋体" w:eastAsia="宋体" w:cs="宋体"/>
          <w:sz w:val="24"/>
        </w:rPr>
        <w:t>%）</w:t>
      </w:r>
      <w:r>
        <w:rPr>
          <w:rFonts w:hint="eastAsia" w:ascii="宋体" w:hAnsi="宋体" w:eastAsia="宋体" w:cs="宋体"/>
          <w:sz w:val="24"/>
          <w:lang w:eastAsia="zh-CN"/>
        </w:rPr>
        <w:t>、</w:t>
      </w:r>
      <w:r>
        <w:rPr>
          <w:rFonts w:hint="eastAsia" w:ascii="宋体" w:hAnsi="宋体" w:eastAsia="宋体" w:cs="宋体"/>
          <w:sz w:val="24"/>
        </w:rPr>
        <w:t>湖北省（4.</w:t>
      </w:r>
      <w:r>
        <w:rPr>
          <w:rFonts w:hint="eastAsia" w:ascii="宋体" w:hAnsi="宋体" w:eastAsia="宋体" w:cs="宋体"/>
          <w:sz w:val="24"/>
          <w:lang w:val="en-US" w:eastAsia="zh-CN"/>
        </w:rPr>
        <w:t>44</w:t>
      </w:r>
      <w:r>
        <w:rPr>
          <w:rFonts w:hint="eastAsia" w:ascii="宋体" w:hAnsi="宋体" w:eastAsia="宋体" w:cs="宋体"/>
          <w:sz w:val="24"/>
        </w:rPr>
        <w:t>%）、北京市（</w:t>
      </w:r>
      <w:r>
        <w:rPr>
          <w:rFonts w:hint="eastAsia" w:ascii="宋体" w:hAnsi="宋体" w:eastAsia="宋体" w:cs="宋体"/>
          <w:sz w:val="24"/>
          <w:lang w:val="en-US" w:eastAsia="zh-CN"/>
        </w:rPr>
        <w:t>4.16</w:t>
      </w:r>
      <w:r>
        <w:rPr>
          <w:rFonts w:hint="eastAsia" w:ascii="宋体" w:hAnsi="宋体" w:eastAsia="宋体" w:cs="宋体"/>
          <w:sz w:val="24"/>
        </w:rPr>
        <w:t>%）。</w:t>
      </w:r>
    </w:p>
    <w:p w14:paraId="31719BEB">
      <w:pPr>
        <w:spacing w:before="156" w:beforeLines="50" w:line="360" w:lineRule="auto"/>
        <w:jc w:val="left"/>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5271135" cy="3580765"/>
            <wp:effectExtent l="0" t="0" r="5715" b="635"/>
            <wp:docPr id="10" name="图片 10" descr="屏幕截图 2025-09-03 13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屏幕截图 2025-09-03 134144"/>
                    <pic:cNvPicPr>
                      <a:picLocks noChangeAspect="1"/>
                    </pic:cNvPicPr>
                  </pic:nvPicPr>
                  <pic:blipFill>
                    <a:blip r:embed="rId8"/>
                    <a:stretch>
                      <a:fillRect/>
                    </a:stretch>
                  </pic:blipFill>
                  <pic:spPr>
                    <a:xfrm>
                      <a:off x="0" y="0"/>
                      <a:ext cx="5271135" cy="3580765"/>
                    </a:xfrm>
                    <a:prstGeom prst="rect">
                      <a:avLst/>
                    </a:prstGeom>
                  </pic:spPr>
                </pic:pic>
              </a:graphicData>
            </a:graphic>
          </wp:inline>
        </w:drawing>
      </w:r>
    </w:p>
    <w:p w14:paraId="6E775C3D">
      <w:pPr>
        <w:pStyle w:val="20"/>
        <w:spacing w:line="360" w:lineRule="auto"/>
        <w:jc w:val="left"/>
        <w:rPr>
          <w:rFonts w:hint="default"/>
        </w:rPr>
      </w:pPr>
      <w:bookmarkStart w:id="9" w:name="_Toc22372"/>
      <w:bookmarkStart w:id="10" w:name="_Toc20817"/>
      <w:r>
        <w:t>（三）投诉用户性别分布</w:t>
      </w:r>
      <w:bookmarkEnd w:id="9"/>
      <w:bookmarkEnd w:id="10"/>
    </w:p>
    <w:p w14:paraId="741A7024">
      <w:pPr>
        <w:spacing w:before="156" w:beforeLines="50" w:line="360" w:lineRule="auto"/>
        <w:ind w:firstLine="480" w:firstLineChars="200"/>
        <w:jc w:val="left"/>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据“电诉宝”显示，</w:t>
      </w:r>
      <w:r>
        <w:rPr>
          <w:rFonts w:hint="eastAsia" w:ascii="宋体" w:hAnsi="宋体" w:eastAsia="宋体" w:cs="宋体"/>
          <w:color w:val="000000" w:themeColor="text1"/>
          <w:sz w:val="24"/>
          <w:lang w:val="en-US" w:eastAsia="zh-CN"/>
          <w14:textFill>
            <w14:solidFill>
              <w14:schemeClr w14:val="tx1"/>
            </w14:solidFill>
          </w14:textFill>
        </w:rPr>
        <w:t>8</w:t>
      </w:r>
      <w:r>
        <w:rPr>
          <w:rFonts w:hint="eastAsia" w:ascii="宋体" w:hAnsi="宋体" w:eastAsia="宋体" w:cs="宋体"/>
          <w:color w:val="000000" w:themeColor="text1"/>
          <w:sz w:val="24"/>
          <w14:textFill>
            <w14:solidFill>
              <w14:schemeClr w14:val="tx1"/>
            </w14:solidFill>
          </w14:textFill>
        </w:rPr>
        <w:t>月男性用户投诉比例为</w:t>
      </w:r>
      <w:r>
        <w:rPr>
          <w:rFonts w:hint="eastAsia" w:ascii="宋体" w:hAnsi="宋体" w:eastAsia="宋体" w:cs="宋体"/>
          <w:b/>
          <w:color w:val="000000" w:themeColor="text1"/>
          <w:sz w:val="24"/>
          <w14:textFill>
            <w14:solidFill>
              <w14:schemeClr w14:val="tx1"/>
            </w14:solidFill>
          </w14:textFill>
        </w:rPr>
        <w:t>7</w:t>
      </w:r>
      <w:r>
        <w:rPr>
          <w:rFonts w:hint="eastAsia" w:ascii="宋体" w:hAnsi="宋体" w:eastAsia="宋体" w:cs="宋体"/>
          <w:b/>
          <w:color w:val="000000" w:themeColor="text1"/>
          <w:sz w:val="24"/>
          <w:lang w:val="en-US" w:eastAsia="zh-CN"/>
          <w14:textFill>
            <w14:solidFill>
              <w14:schemeClr w14:val="tx1"/>
            </w14:solidFill>
          </w14:textFill>
        </w:rPr>
        <w:t>3</w:t>
      </w:r>
      <w:r>
        <w:rPr>
          <w:rFonts w:ascii="宋体" w:hAnsi="宋体" w:eastAsia="宋体" w:cs="宋体"/>
          <w:b/>
          <w:color w:val="000000" w:themeColor="text1"/>
          <w:sz w:val="24"/>
          <w14:textFill>
            <w14:solidFill>
              <w14:schemeClr w14:val="tx1"/>
            </w14:solidFill>
          </w14:textFill>
        </w:rPr>
        <w:t>.</w:t>
      </w:r>
      <w:r>
        <w:rPr>
          <w:rFonts w:hint="eastAsia" w:ascii="宋体" w:hAnsi="宋体" w:eastAsia="宋体" w:cs="宋体"/>
          <w:b/>
          <w:color w:val="000000" w:themeColor="text1"/>
          <w:sz w:val="24"/>
          <w:lang w:val="en-US" w:eastAsia="zh-CN"/>
          <w14:textFill>
            <w14:solidFill>
              <w14:schemeClr w14:val="tx1"/>
            </w14:solidFill>
          </w14:textFill>
        </w:rPr>
        <w:t>27</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，女性用户投诉比例为</w:t>
      </w:r>
      <w:r>
        <w:rPr>
          <w:rFonts w:ascii="宋体" w:hAnsi="宋体" w:eastAsia="宋体" w:cs="宋体"/>
          <w:b/>
          <w:color w:val="000000" w:themeColor="text1"/>
          <w:sz w:val="24"/>
          <w14:textFill>
            <w14:solidFill>
              <w14:schemeClr w14:val="tx1"/>
            </w14:solidFill>
          </w14:textFill>
        </w:rPr>
        <w:t>2</w:t>
      </w:r>
      <w:r>
        <w:rPr>
          <w:rFonts w:hint="eastAsia" w:ascii="宋体" w:hAnsi="宋体" w:eastAsia="宋体" w:cs="宋体"/>
          <w:b/>
          <w:color w:val="000000" w:themeColor="text1"/>
          <w:sz w:val="24"/>
          <w:lang w:val="en-US" w:eastAsia="zh-CN"/>
          <w14:textFill>
            <w14:solidFill>
              <w14:schemeClr w14:val="tx1"/>
            </w14:solidFill>
          </w14:textFill>
        </w:rPr>
        <w:t>6</w:t>
      </w:r>
      <w:r>
        <w:rPr>
          <w:rFonts w:ascii="宋体" w:hAnsi="宋体" w:eastAsia="宋体" w:cs="宋体"/>
          <w:b/>
          <w:color w:val="000000" w:themeColor="text1"/>
          <w:sz w:val="24"/>
          <w14:textFill>
            <w14:solidFill>
              <w14:schemeClr w14:val="tx1"/>
            </w14:solidFill>
          </w14:textFill>
        </w:rPr>
        <w:t>.</w:t>
      </w:r>
      <w:r>
        <w:rPr>
          <w:rFonts w:hint="eastAsia" w:ascii="宋体" w:hAnsi="宋体" w:eastAsia="宋体" w:cs="宋体"/>
          <w:b/>
          <w:color w:val="000000" w:themeColor="text1"/>
          <w:sz w:val="24"/>
          <w:lang w:val="en-US" w:eastAsia="zh-CN"/>
          <w14:textFill>
            <w14:solidFill>
              <w14:schemeClr w14:val="tx1"/>
            </w14:solidFill>
          </w14:textFill>
        </w:rPr>
        <w:t>73</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w:t>
      </w:r>
    </w:p>
    <w:p w14:paraId="354D0925">
      <w:pPr>
        <w:spacing w:before="156" w:beforeLines="50" w:line="36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drawing>
          <wp:inline distT="0" distB="0" distL="114300" distR="114300">
            <wp:extent cx="5272405" cy="3584575"/>
            <wp:effectExtent l="0" t="0" r="4445" b="15875"/>
            <wp:docPr id="11" name="图片 11" descr="屏幕截图 2025-09-03 13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屏幕截图 2025-09-03 134221"/>
                    <pic:cNvPicPr>
                      <a:picLocks noChangeAspect="1"/>
                    </pic:cNvPicPr>
                  </pic:nvPicPr>
                  <pic:blipFill>
                    <a:blip r:embed="rId9"/>
                    <a:stretch>
                      <a:fillRect/>
                    </a:stretch>
                  </pic:blipFill>
                  <pic:spPr>
                    <a:xfrm>
                      <a:off x="0" y="0"/>
                      <a:ext cx="5272405" cy="3584575"/>
                    </a:xfrm>
                    <a:prstGeom prst="rect">
                      <a:avLst/>
                    </a:prstGeom>
                  </pic:spPr>
                </pic:pic>
              </a:graphicData>
            </a:graphic>
          </wp:inline>
        </w:drawing>
      </w:r>
    </w:p>
    <w:p w14:paraId="676491DA">
      <w:pPr>
        <w:pStyle w:val="3"/>
        <w:spacing w:line="360" w:lineRule="auto"/>
        <w:jc w:val="left"/>
      </w:pPr>
      <w:bookmarkStart w:id="11" w:name="_Toc2843"/>
      <w:bookmarkStart w:id="12" w:name="_Toc4758"/>
      <w:r>
        <w:rPr>
          <w:rFonts w:hint="eastAsia"/>
        </w:rPr>
        <w:t>（四）投诉金额区间分布</w:t>
      </w:r>
      <w:bookmarkEnd w:id="11"/>
      <w:bookmarkEnd w:id="12"/>
      <w:r>
        <w:rPr>
          <w:rFonts w:hint="eastAsia"/>
        </w:rPr>
        <w:tab/>
      </w:r>
    </w:p>
    <w:p w14:paraId="183C47FE">
      <w:pPr>
        <w:spacing w:before="156" w:beforeLines="50" w:line="360" w:lineRule="auto"/>
        <w:ind w:firstLine="480" w:firstLineChars="200"/>
        <w:jc w:val="left"/>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据“电诉宝”显示，</w:t>
      </w:r>
      <w:r>
        <w:rPr>
          <w:rFonts w:ascii="宋体" w:hAnsi="宋体" w:eastAsia="宋体" w:cs="宋体"/>
          <w:color w:val="000000" w:themeColor="text1"/>
          <w:sz w:val="24"/>
          <w14:textFill>
            <w14:solidFill>
              <w14:schemeClr w14:val="tx1"/>
            </w14:solidFill>
          </w14:textFill>
        </w:rPr>
        <w:t xml:space="preserve"> </w:t>
      </w:r>
      <w:r>
        <w:rPr>
          <w:rFonts w:hint="eastAsia" w:ascii="宋体" w:hAnsi="宋体" w:eastAsia="宋体" w:cs="宋体"/>
          <w:color w:val="000000" w:themeColor="text1"/>
          <w:sz w:val="24"/>
          <w:lang w:val="en-US" w:eastAsia="zh-CN"/>
          <w14:textFill>
            <w14:solidFill>
              <w14:schemeClr w14:val="tx1"/>
            </w14:solidFill>
          </w14:textFill>
        </w:rPr>
        <w:t>8</w:t>
      </w:r>
      <w:r>
        <w:rPr>
          <w:rFonts w:hint="eastAsia" w:ascii="宋体" w:hAnsi="宋体" w:eastAsia="宋体" w:cs="宋体"/>
          <w:color w:val="000000" w:themeColor="text1"/>
          <w:sz w:val="24"/>
          <w14:textFill>
            <w14:solidFill>
              <w14:schemeClr w14:val="tx1"/>
            </w14:solidFill>
          </w14:textFill>
        </w:rPr>
        <w:t>月投诉金额分布主要集中在</w:t>
      </w:r>
      <w:r>
        <w:rPr>
          <w:rFonts w:hint="eastAsia" w:ascii="宋体" w:hAnsi="宋体" w:eastAsia="宋体" w:cs="宋体"/>
          <w:b/>
          <w:bCs/>
          <w:color w:val="000000" w:themeColor="text1"/>
          <w:sz w:val="24"/>
          <w14:textFill>
            <w14:solidFill>
              <w14:schemeClr w14:val="tx1"/>
            </w14:solidFill>
          </w14:textFill>
        </w:rPr>
        <w:t>0-5万（</w:t>
      </w:r>
      <w:r>
        <w:rPr>
          <w:rFonts w:hint="eastAsia" w:ascii="宋体" w:hAnsi="宋体" w:eastAsia="宋体" w:cs="宋体"/>
          <w:b/>
          <w:bCs/>
          <w:color w:val="000000" w:themeColor="text1"/>
          <w:sz w:val="24"/>
          <w:lang w:val="en-US" w:eastAsia="zh-CN"/>
          <w14:textFill>
            <w14:solidFill>
              <w14:schemeClr w14:val="tx1"/>
            </w14:solidFill>
          </w14:textFill>
        </w:rPr>
        <w:t>36.73</w:t>
      </w:r>
      <w:r>
        <w:rPr>
          <w:rFonts w:hint="eastAsia" w:ascii="宋体" w:hAnsi="宋体" w:eastAsia="宋体" w:cs="宋体"/>
          <w:b/>
          <w:bCs/>
          <w:color w:val="000000" w:themeColor="text1"/>
          <w:sz w:val="24"/>
          <w14:textFill>
            <w14:solidFill>
              <w14:schemeClr w14:val="tx1"/>
            </w14:solidFill>
          </w14:textFill>
        </w:rPr>
        <w:t>%）、0-100元（</w:t>
      </w:r>
      <w:r>
        <w:rPr>
          <w:rFonts w:hint="eastAsia" w:ascii="宋体" w:hAnsi="宋体" w:eastAsia="宋体" w:cs="宋体"/>
          <w:b/>
          <w:bCs/>
          <w:color w:val="000000" w:themeColor="text1"/>
          <w:sz w:val="24"/>
          <w:lang w:val="en-US" w:eastAsia="zh-CN"/>
          <w14:textFill>
            <w14:solidFill>
              <w14:schemeClr w14:val="tx1"/>
            </w14:solidFill>
          </w14:textFill>
        </w:rPr>
        <w:t>15.08</w:t>
      </w:r>
      <w:r>
        <w:rPr>
          <w:rFonts w:hint="eastAsia" w:ascii="宋体" w:hAnsi="宋体" w:eastAsia="宋体" w:cs="宋体"/>
          <w:b/>
          <w:bCs/>
          <w:color w:val="000000" w:themeColor="text1"/>
          <w:sz w:val="24"/>
          <w14:textFill>
            <w14:solidFill>
              <w14:schemeClr w14:val="tx1"/>
            </w14:solidFill>
          </w14:textFill>
        </w:rPr>
        <w:t>%）、100-500元（</w:t>
      </w:r>
      <w:r>
        <w:rPr>
          <w:rFonts w:hint="eastAsia" w:ascii="宋体" w:hAnsi="宋体" w:eastAsia="宋体" w:cs="宋体"/>
          <w:b/>
          <w:bCs/>
          <w:color w:val="000000" w:themeColor="text1"/>
          <w:sz w:val="24"/>
          <w:lang w:val="en-US" w:eastAsia="zh-CN"/>
          <w14:textFill>
            <w14:solidFill>
              <w14:schemeClr w14:val="tx1"/>
            </w14:solidFill>
          </w14:textFill>
        </w:rPr>
        <w:t>12.58</w:t>
      </w:r>
      <w:r>
        <w:rPr>
          <w:rFonts w:hint="eastAsia" w:ascii="宋体" w:hAnsi="宋体" w:eastAsia="宋体" w:cs="宋体"/>
          <w:b/>
          <w:bCs/>
          <w:color w:val="000000" w:themeColor="text1"/>
          <w:sz w:val="24"/>
          <w14:textFill>
            <w14:solidFill>
              <w14:schemeClr w14:val="tx1"/>
            </w14:solidFill>
          </w14:textFill>
        </w:rPr>
        <w:t>%）、1000元-5000元（</w:t>
      </w:r>
      <w:r>
        <w:rPr>
          <w:rFonts w:hint="eastAsia" w:ascii="宋体" w:hAnsi="宋体" w:eastAsia="宋体" w:cs="宋体"/>
          <w:b/>
          <w:bCs/>
          <w:color w:val="000000" w:themeColor="text1"/>
          <w:sz w:val="24"/>
          <w:lang w:val="en-US" w:eastAsia="zh-CN"/>
          <w14:textFill>
            <w14:solidFill>
              <w14:schemeClr w14:val="tx1"/>
            </w14:solidFill>
          </w14:textFill>
        </w:rPr>
        <w:t>8.88</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、500-1000元（</w:t>
      </w:r>
      <w:r>
        <w:rPr>
          <w:rFonts w:hint="eastAsia" w:ascii="宋体" w:hAnsi="宋体" w:eastAsia="宋体" w:cs="宋体"/>
          <w:color w:val="000000" w:themeColor="text1"/>
          <w:sz w:val="24"/>
          <w:lang w:val="en-US" w:eastAsia="zh-CN"/>
          <w14:textFill>
            <w14:solidFill>
              <w14:schemeClr w14:val="tx1"/>
            </w14:solidFill>
          </w14:textFill>
        </w:rPr>
        <w:t>5.18</w:t>
      </w:r>
      <w:r>
        <w:rPr>
          <w:rFonts w:hint="eastAsia" w:ascii="宋体" w:hAnsi="宋体" w:eastAsia="宋体" w:cs="宋体"/>
          <w:color w:val="000000" w:themeColor="text1"/>
          <w:sz w:val="24"/>
          <w14:textFill>
            <w14:solidFill>
              <w14:schemeClr w14:val="tx1"/>
            </w14:solidFill>
          </w14:textFill>
        </w:rPr>
        <w:t>%）、10000元以上（</w:t>
      </w:r>
      <w:r>
        <w:rPr>
          <w:rFonts w:ascii="宋体" w:hAnsi="宋体" w:eastAsia="宋体" w:cs="宋体"/>
          <w:color w:val="000000" w:themeColor="text1"/>
          <w:sz w:val="24"/>
          <w14:textFill>
            <w14:solidFill>
              <w14:schemeClr w14:val="tx1"/>
            </w14:solidFill>
          </w14:textFill>
        </w:rPr>
        <w:t>5.</w:t>
      </w:r>
      <w:r>
        <w:rPr>
          <w:rFonts w:hint="eastAsia" w:ascii="宋体" w:hAnsi="宋体" w:eastAsia="宋体" w:cs="宋体"/>
          <w:color w:val="000000" w:themeColor="text1"/>
          <w:sz w:val="24"/>
          <w:lang w:val="en-US" w:eastAsia="zh-CN"/>
          <w14:textFill>
            <w14:solidFill>
              <w14:schemeClr w14:val="tx1"/>
            </w14:solidFill>
          </w14:textFill>
        </w:rPr>
        <w:t>00</w:t>
      </w:r>
      <w:r>
        <w:rPr>
          <w:rFonts w:hint="eastAsia" w:ascii="宋体" w:hAnsi="宋体" w:eastAsia="宋体" w:cs="宋体"/>
          <w:color w:val="000000" w:themeColor="text1"/>
          <w:sz w:val="24"/>
          <w14:textFill>
            <w14:solidFill>
              <w14:schemeClr w14:val="tx1"/>
            </w14:solidFill>
          </w14:textFill>
        </w:rPr>
        <w:t>%）、5000-10000元（</w:t>
      </w:r>
      <w:r>
        <w:rPr>
          <w:rFonts w:hint="eastAsia" w:ascii="宋体" w:hAnsi="宋体" w:eastAsia="宋体" w:cs="宋体"/>
          <w:color w:val="000000" w:themeColor="text1"/>
          <w:sz w:val="24"/>
          <w:lang w:val="en-US" w:eastAsia="zh-CN"/>
          <w14:textFill>
            <w14:solidFill>
              <w14:schemeClr w14:val="tx1"/>
            </w14:solidFill>
          </w14:textFill>
        </w:rPr>
        <w:t>3.15</w:t>
      </w:r>
      <w:r>
        <w:rPr>
          <w:rFonts w:hint="eastAsia" w:ascii="宋体" w:hAnsi="宋体" w:eastAsia="宋体" w:cs="宋体"/>
          <w:color w:val="000000" w:themeColor="text1"/>
          <w:sz w:val="24"/>
          <w14:textFill>
            <w14:solidFill>
              <w14:schemeClr w14:val="tx1"/>
            </w14:solidFill>
          </w14:textFill>
        </w:rPr>
        <w:t>%）。</w:t>
      </w:r>
    </w:p>
    <w:p w14:paraId="5BA28F0C">
      <w:pPr>
        <w:spacing w:before="156" w:beforeLines="50" w:line="360" w:lineRule="auto"/>
        <w:jc w:val="left"/>
        <w:rPr>
          <w:rFonts w:hint="eastAsia" w:eastAsiaTheme="minorEastAsia"/>
          <w:color w:val="000000" w:themeColor="text1"/>
          <w:sz w:val="24"/>
          <w:lang w:eastAsia="zh-CN"/>
          <w14:textFill>
            <w14:solidFill>
              <w14:schemeClr w14:val="tx1"/>
            </w14:solidFill>
          </w14:textFill>
        </w:rPr>
      </w:pPr>
      <w:r>
        <w:rPr>
          <w:rFonts w:hint="eastAsia" w:eastAsiaTheme="minorEastAsia"/>
          <w:color w:val="000000" w:themeColor="text1"/>
          <w:sz w:val="24"/>
          <w:lang w:eastAsia="zh-CN"/>
          <w14:textFill>
            <w14:solidFill>
              <w14:schemeClr w14:val="tx1"/>
            </w14:solidFill>
          </w14:textFill>
        </w:rPr>
        <w:drawing>
          <wp:inline distT="0" distB="0" distL="114300" distR="114300">
            <wp:extent cx="5269230" cy="3576955"/>
            <wp:effectExtent l="0" t="0" r="7620" b="4445"/>
            <wp:docPr id="12" name="图片 12" descr="屏幕截图 2025-09-03 13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屏幕截图 2025-09-03 134306"/>
                    <pic:cNvPicPr>
                      <a:picLocks noChangeAspect="1"/>
                    </pic:cNvPicPr>
                  </pic:nvPicPr>
                  <pic:blipFill>
                    <a:blip r:embed="rId10"/>
                    <a:stretch>
                      <a:fillRect/>
                    </a:stretch>
                  </pic:blipFill>
                  <pic:spPr>
                    <a:xfrm>
                      <a:off x="0" y="0"/>
                      <a:ext cx="5269230" cy="3576955"/>
                    </a:xfrm>
                    <a:prstGeom prst="rect">
                      <a:avLst/>
                    </a:prstGeom>
                  </pic:spPr>
                </pic:pic>
              </a:graphicData>
            </a:graphic>
          </wp:inline>
        </w:drawing>
      </w:r>
    </w:p>
    <w:p w14:paraId="0656ACE9">
      <w:pPr>
        <w:pStyle w:val="2"/>
        <w:spacing w:line="360" w:lineRule="auto"/>
        <w:jc w:val="left"/>
        <w:rPr>
          <w:rFonts w:ascii="微软雅黑" w:hAnsi="微软雅黑" w:eastAsia="微软雅黑" w:cs="微软雅黑"/>
          <w:sz w:val="32"/>
          <w:szCs w:val="32"/>
        </w:rPr>
      </w:pPr>
      <w:bookmarkStart w:id="13" w:name="_Toc1329"/>
      <w:r>
        <w:rPr>
          <w:rFonts w:hint="eastAsia" w:ascii="微软雅黑" w:hAnsi="微软雅黑" w:eastAsia="微软雅黑" w:cs="微软雅黑"/>
          <w:sz w:val="32"/>
          <w:szCs w:val="32"/>
        </w:rPr>
        <w:t>三、评级数据与典型案例</w:t>
      </w:r>
      <w:bookmarkEnd w:id="13"/>
    </w:p>
    <w:p w14:paraId="47C7FEC4">
      <w:pPr>
        <w:pStyle w:val="21"/>
        <w:spacing w:before="156"/>
        <w:jc w:val="left"/>
        <w:rPr>
          <w:rFonts w:hint="default"/>
        </w:rPr>
      </w:pPr>
      <w:r>
        <w:t>在报告公布的《2025年</w:t>
      </w:r>
      <w:r>
        <w:rPr>
          <w:rFonts w:hint="eastAsia"/>
          <w:lang w:val="en-US" w:eastAsia="zh-CN"/>
        </w:rPr>
        <w:t>8月</w:t>
      </w:r>
      <w:r>
        <w:t>全国全部网络消费评级榜》中：获“</w:t>
      </w:r>
      <w:r>
        <w:rPr>
          <w:b/>
          <w:bCs/>
        </w:rPr>
        <w:t>建议下单</w:t>
      </w:r>
      <w:r>
        <w:t>”的有：转转、美团共</w:t>
      </w:r>
      <w:r>
        <w:rPr>
          <w:rFonts w:hint="eastAsia"/>
          <w:lang w:val="en-US" w:eastAsia="zh-CN"/>
        </w:rPr>
        <w:t>2</w:t>
      </w:r>
      <w:r>
        <w:rPr>
          <w:b/>
          <w:bCs/>
        </w:rPr>
        <w:t>家</w:t>
      </w:r>
      <w:r>
        <w:t>；获</w:t>
      </w:r>
      <w:r>
        <w:rPr>
          <w:b/>
          <w:bCs/>
        </w:rPr>
        <w:t>“不建议下单</w:t>
      </w:r>
      <w:r>
        <w:t>”的有：</w:t>
      </w:r>
      <w:r>
        <w:rPr>
          <w:rFonts w:hint="eastAsia"/>
          <w:lang w:val="en-US" w:eastAsia="zh-CN"/>
        </w:rPr>
        <w:t>京东、飞猪、小红书、走着瞧旅行、分期乐、拼多多</w:t>
      </w:r>
      <w:r>
        <w:rPr>
          <w:b/>
          <w:bCs/>
        </w:rPr>
        <w:t>等</w:t>
      </w:r>
      <w:r>
        <w:rPr>
          <w:rFonts w:hint="default"/>
          <w:b/>
          <w:bCs/>
        </w:rPr>
        <w:t>5</w:t>
      </w:r>
      <w:r>
        <w:rPr>
          <w:b/>
          <w:bCs/>
        </w:rPr>
        <w:t>家</w:t>
      </w:r>
      <w:r>
        <w:t>；获“</w:t>
      </w:r>
      <w:r>
        <w:rPr>
          <w:b/>
          <w:bCs/>
        </w:rPr>
        <w:t>不予评级”</w:t>
      </w:r>
      <w:r>
        <w:t>的有：</w:t>
      </w:r>
      <w:r>
        <w:rPr>
          <w:rFonts w:hint="eastAsia"/>
          <w:lang w:val="en-US" w:eastAsia="zh-CN"/>
        </w:rPr>
        <w:t>淘宝、天猫、闲鱼、快手、全球速卖通微信、微店</w:t>
      </w:r>
      <w:r>
        <w:t>共</w:t>
      </w:r>
      <w:r>
        <w:rPr>
          <w:rFonts w:hint="default"/>
          <w:b/>
          <w:bCs/>
        </w:rPr>
        <w:t>6</w:t>
      </w:r>
      <w:r>
        <w:rPr>
          <w:b/>
          <w:bCs/>
        </w:rPr>
        <w:t>家；</w:t>
      </w:r>
      <w:r>
        <w:t>获</w:t>
      </w:r>
      <w:r>
        <w:rPr>
          <w:b/>
          <w:bCs/>
        </w:rPr>
        <w:t>“谨慎下单”</w:t>
      </w:r>
      <w:r>
        <w:t>的有：去哪儿、万师傅、</w:t>
      </w:r>
      <w:r>
        <w:rPr>
          <w:rFonts w:hint="eastAsia"/>
          <w:lang w:val="en-US" w:eastAsia="zh-CN"/>
        </w:rPr>
        <w:t>携程、</w:t>
      </w:r>
      <w:r>
        <w:t>智行</w:t>
      </w:r>
      <w:r>
        <w:rPr>
          <w:b/>
          <w:bCs/>
        </w:rPr>
        <w:t>共</w:t>
      </w:r>
      <w:r>
        <w:rPr>
          <w:rFonts w:hint="eastAsia"/>
          <w:b/>
          <w:bCs/>
          <w:lang w:val="en-US" w:eastAsia="zh-CN"/>
        </w:rPr>
        <w:t>4</w:t>
      </w:r>
      <w:r>
        <w:rPr>
          <w:b/>
          <w:bCs/>
        </w:rPr>
        <w:t>家</w:t>
      </w:r>
      <w:r>
        <w:t>。</w:t>
      </w:r>
    </w:p>
    <w:p w14:paraId="4D4F48AC">
      <w:pPr>
        <w:spacing w:line="360" w:lineRule="auto"/>
        <w:jc w:val="left"/>
      </w:pPr>
      <w:r>
        <w:rPr>
          <w:rFonts w:hint="eastAsia"/>
        </w:rPr>
        <w:drawing>
          <wp:inline distT="0" distB="0" distL="0" distR="0">
            <wp:extent cx="5274310" cy="6595745"/>
            <wp:effectExtent l="0" t="0" r="2540" b="14605"/>
            <wp:docPr id="1" name="图片 1" descr="C:/Users/Administrator/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1.png1"/>
                    <pic:cNvPicPr>
                      <a:picLocks noChangeAspect="1" noChangeArrowheads="1"/>
                    </pic:cNvPicPr>
                  </pic:nvPicPr>
                  <pic:blipFill>
                    <a:blip r:embed="rId11"/>
                    <a:srcRect l="24" r="24"/>
                    <a:stretch>
                      <a:fillRect/>
                    </a:stretch>
                  </pic:blipFill>
                  <pic:spPr>
                    <a:xfrm>
                      <a:off x="0" y="0"/>
                      <a:ext cx="5274310" cy="6595745"/>
                    </a:xfrm>
                    <a:prstGeom prst="rect">
                      <a:avLst/>
                    </a:prstGeom>
                    <a:noFill/>
                    <a:ln>
                      <a:noFill/>
                    </a:ln>
                  </pic:spPr>
                </pic:pic>
              </a:graphicData>
            </a:graphic>
          </wp:inline>
        </w:drawing>
      </w:r>
    </w:p>
    <w:p w14:paraId="29FD76ED">
      <w:pPr>
        <w:pStyle w:val="20"/>
        <w:spacing w:line="360" w:lineRule="auto"/>
        <w:jc w:val="left"/>
        <w:rPr>
          <w:rFonts w:hint="default"/>
        </w:rPr>
      </w:pPr>
      <w:bookmarkStart w:id="14" w:name="_Toc18998"/>
      <w:r>
        <w:t>（一）数字零售数据与十大典型案例</w:t>
      </w:r>
      <w:bookmarkEnd w:id="14"/>
    </w:p>
    <w:p w14:paraId="7BC82861">
      <w:pPr>
        <w:pStyle w:val="21"/>
        <w:spacing w:before="156"/>
        <w:ind w:firstLine="562"/>
        <w:jc w:val="left"/>
        <w:rPr>
          <w:rFonts w:hint="default"/>
          <w:b/>
          <w:bCs/>
          <w:sz w:val="28"/>
          <w:szCs w:val="28"/>
        </w:rPr>
      </w:pPr>
      <w:r>
        <w:rPr>
          <w:b/>
          <w:bCs/>
          <w:sz w:val="28"/>
          <w:szCs w:val="28"/>
        </w:rPr>
        <w:t>数字零售消费评级榜：</w:t>
      </w:r>
    </w:p>
    <w:p w14:paraId="17CD3689">
      <w:pPr>
        <w:pStyle w:val="21"/>
        <w:spacing w:before="156"/>
        <w:jc w:val="left"/>
        <w:rPr>
          <w:rFonts w:hint="default"/>
        </w:rPr>
      </w:pPr>
      <w:r>
        <w:t>在</w:t>
      </w:r>
      <w:r>
        <w:rPr>
          <w:rFonts w:hint="eastAsia"/>
          <w:lang w:eastAsia="zh-CN"/>
        </w:rPr>
        <w:t>8月</w:t>
      </w:r>
      <w:r>
        <w:t>全国数字零售评级榜中：获“</w:t>
      </w:r>
      <w:r>
        <w:rPr>
          <w:b/>
          <w:bCs/>
        </w:rPr>
        <w:t>建议下单</w:t>
      </w:r>
      <w:r>
        <w:t>”的有：转转共</w:t>
      </w:r>
      <w:r>
        <w:rPr>
          <w:rFonts w:hint="eastAsia"/>
          <w:lang w:val="en-US" w:eastAsia="zh-CN"/>
        </w:rPr>
        <w:t>1</w:t>
      </w:r>
      <w:r>
        <w:rPr>
          <w:b/>
          <w:bCs/>
        </w:rPr>
        <w:t>家</w:t>
      </w:r>
      <w:r>
        <w:t>；获</w:t>
      </w:r>
      <w:r>
        <w:rPr>
          <w:b/>
          <w:bCs/>
        </w:rPr>
        <w:t>“谨慎下单”</w:t>
      </w:r>
      <w:r>
        <w:t>评级的有：</w:t>
      </w:r>
      <w:r>
        <w:rPr>
          <w:rFonts w:hint="eastAsia"/>
          <w:lang w:val="en-US" w:eastAsia="zh-CN"/>
        </w:rPr>
        <w:t>抖音电商共1家；</w:t>
      </w:r>
      <w:r>
        <w:t>获</w:t>
      </w:r>
      <w:r>
        <w:rPr>
          <w:b/>
          <w:bCs/>
        </w:rPr>
        <w:t>“不建议下单</w:t>
      </w:r>
      <w:r>
        <w:t>”的有：京东、</w:t>
      </w:r>
      <w:r>
        <w:rPr>
          <w:rFonts w:hint="eastAsia"/>
          <w:lang w:val="en-US" w:eastAsia="zh-CN"/>
        </w:rPr>
        <w:t>小红书、拼多多</w:t>
      </w:r>
      <w:r>
        <w:rPr>
          <w:b/>
          <w:bCs/>
        </w:rPr>
        <w:t xml:space="preserve"> </w:t>
      </w:r>
      <w:r>
        <w:rPr>
          <w:rFonts w:hint="eastAsia"/>
          <w:b/>
          <w:bCs/>
          <w:lang w:val="en-US" w:eastAsia="zh-CN"/>
        </w:rPr>
        <w:t>3</w:t>
      </w:r>
      <w:r>
        <w:rPr>
          <w:b/>
          <w:bCs/>
        </w:rPr>
        <w:t>家</w:t>
      </w:r>
      <w:r>
        <w:t>；获“</w:t>
      </w:r>
      <w:r>
        <w:rPr>
          <w:b/>
          <w:bCs/>
        </w:rPr>
        <w:t>不予评级”</w:t>
      </w:r>
      <w:r>
        <w:t>的有：淘宝、天猫、闲鱼、快手</w:t>
      </w:r>
      <w:r>
        <w:rPr>
          <w:rFonts w:hint="eastAsia"/>
          <w:lang w:eastAsia="zh-CN"/>
        </w:rPr>
        <w:t>、</w:t>
      </w:r>
      <w:r>
        <w:rPr>
          <w:rFonts w:hint="eastAsia"/>
          <w:lang w:val="en-US" w:eastAsia="zh-CN"/>
        </w:rPr>
        <w:t>微店</w:t>
      </w:r>
      <w:r>
        <w:rPr>
          <w:b/>
          <w:bCs/>
        </w:rPr>
        <w:t>共</w:t>
      </w:r>
      <w:r>
        <w:rPr>
          <w:rFonts w:hint="eastAsia"/>
          <w:b/>
          <w:bCs/>
          <w:lang w:val="en-US" w:eastAsia="zh-CN"/>
        </w:rPr>
        <w:t>5</w:t>
      </w:r>
      <w:r>
        <w:rPr>
          <w:b/>
          <w:bCs/>
        </w:rPr>
        <w:t>家</w:t>
      </w:r>
      <w:r>
        <w:t>。</w:t>
      </w:r>
    </w:p>
    <w:p w14:paraId="58F89BA7">
      <w:pPr>
        <w:spacing w:line="360" w:lineRule="auto"/>
        <w:jc w:val="left"/>
      </w:pPr>
      <w:r>
        <w:rPr>
          <w:rFonts w:hint="eastAsia"/>
        </w:rPr>
        <w:drawing>
          <wp:inline distT="0" distB="0" distL="0" distR="0">
            <wp:extent cx="5274310" cy="4436745"/>
            <wp:effectExtent l="0" t="0" r="2540" b="1905"/>
            <wp:docPr id="15" name="图片 15" descr="C:/Users/Administrator/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2.png2"/>
                    <pic:cNvPicPr>
                      <a:picLocks noChangeAspect="1" noChangeArrowheads="1"/>
                    </pic:cNvPicPr>
                  </pic:nvPicPr>
                  <pic:blipFill>
                    <a:blip r:embed="rId12"/>
                    <a:srcRect l="21" r="21"/>
                    <a:stretch>
                      <a:fillRect/>
                    </a:stretch>
                  </pic:blipFill>
                  <pic:spPr>
                    <a:xfrm>
                      <a:off x="0" y="0"/>
                      <a:ext cx="5274310" cy="4436745"/>
                    </a:xfrm>
                    <a:prstGeom prst="rect">
                      <a:avLst/>
                    </a:prstGeom>
                    <a:noFill/>
                    <a:ln>
                      <a:noFill/>
                    </a:ln>
                  </pic:spPr>
                </pic:pic>
              </a:graphicData>
            </a:graphic>
          </wp:inline>
        </w:drawing>
      </w:r>
    </w:p>
    <w:p w14:paraId="5F04F471">
      <w:pPr>
        <w:spacing w:before="156" w:beforeLines="50" w:line="360" w:lineRule="auto"/>
        <w:ind w:firstLine="562" w:firstLineChars="200"/>
        <w:jc w:val="left"/>
        <w:rPr>
          <w:rFonts w:asciiTheme="majorEastAsia" w:hAnsiTheme="majorEastAsia" w:eastAsiaTheme="majorEastAsia" w:cstheme="majorEastAsia"/>
          <w:bCs/>
          <w:color w:val="000000" w:themeColor="text1"/>
          <w:sz w:val="24"/>
          <w14:textFill>
            <w14:solidFill>
              <w14:schemeClr w14:val="tx1"/>
            </w14:solidFill>
          </w14:textFill>
        </w:rPr>
      </w:pPr>
      <w:r>
        <w:rPr>
          <w:rFonts w:hint="eastAsia" w:asciiTheme="majorEastAsia" w:hAnsiTheme="majorEastAsia" w:eastAsiaTheme="majorEastAsia" w:cstheme="majorEastAsia"/>
          <w:b/>
          <w:sz w:val="28"/>
          <w:szCs w:val="28"/>
        </w:rPr>
        <w:t>数字零售上榜平台有</w:t>
      </w:r>
      <w:r>
        <w:rPr>
          <w:rFonts w:asciiTheme="majorEastAsia" w:hAnsiTheme="majorEastAsia" w:eastAsiaTheme="majorEastAsia" w:cstheme="majorEastAsia"/>
          <w:b/>
          <w:sz w:val="28"/>
          <w:szCs w:val="28"/>
        </w:rPr>
        <w:t>3</w:t>
      </w:r>
      <w:r>
        <w:rPr>
          <w:rFonts w:hint="eastAsia" w:asciiTheme="majorEastAsia" w:hAnsiTheme="majorEastAsia" w:eastAsiaTheme="majorEastAsia" w:cstheme="majorEastAsia"/>
          <w:b/>
          <w:sz w:val="28"/>
          <w:szCs w:val="28"/>
          <w:lang w:val="en-US" w:eastAsia="zh-CN"/>
        </w:rPr>
        <w:t>4</w:t>
      </w:r>
      <w:r>
        <w:rPr>
          <w:rFonts w:hint="eastAsia" w:asciiTheme="majorEastAsia" w:hAnsiTheme="majorEastAsia" w:eastAsiaTheme="majorEastAsia" w:cstheme="majorEastAsia"/>
          <w:b/>
          <w:sz w:val="28"/>
          <w:szCs w:val="28"/>
        </w:rPr>
        <w:t>家：</w:t>
      </w:r>
    </w:p>
    <w:p w14:paraId="6A9C7C59">
      <w:pPr>
        <w:pStyle w:val="21"/>
        <w:spacing w:before="156"/>
        <w:jc w:val="left"/>
        <w:rPr>
          <w:rFonts w:hint="default"/>
        </w:rPr>
      </w:pPr>
      <w:bookmarkStart w:id="15" w:name="_Hlk203492671"/>
      <w:r>
        <w:t>投诉量</w:t>
      </w:r>
      <w:r>
        <w:rPr>
          <w:b/>
          <w:bCs/>
        </w:rPr>
        <w:t>TOP10</w:t>
      </w:r>
      <w:r>
        <w:t>依次为：拼多多、抖音电商、淘宝、京东、快手、闲鱼、天猫、小红书、转转、微店；</w:t>
      </w:r>
    </w:p>
    <w:p w14:paraId="51A09271">
      <w:pPr>
        <w:pStyle w:val="21"/>
        <w:spacing w:before="156"/>
        <w:jc w:val="left"/>
        <w:rPr>
          <w:rFonts w:hint="default" w:eastAsia="宋体"/>
          <w:lang w:val="en-US" w:eastAsia="zh-CN"/>
        </w:rPr>
      </w:pPr>
      <w:r>
        <w:t>排在</w:t>
      </w:r>
      <w:r>
        <w:rPr>
          <w:b/>
          <w:bCs/>
        </w:rPr>
        <w:t>第11-20名</w:t>
      </w:r>
      <w:r>
        <w:t>的是：唯品会</w:t>
      </w:r>
      <w:r>
        <w:rPr>
          <w:rFonts w:hint="eastAsia"/>
          <w:lang w:eastAsia="zh-CN"/>
        </w:rPr>
        <w:t>、</w:t>
      </w:r>
      <w:r>
        <w:t>途虎养车、拍机堂</w:t>
      </w:r>
      <w:r>
        <w:rPr>
          <w:rFonts w:hint="eastAsia"/>
          <w:lang w:eastAsia="zh-CN"/>
        </w:rPr>
        <w:t>、</w:t>
      </w:r>
      <w:r>
        <w:t>苏宁易购、</w:t>
      </w:r>
      <w:r>
        <w:rPr>
          <w:rFonts w:hint="eastAsia"/>
          <w:lang w:val="en-US" w:eastAsia="zh-CN"/>
        </w:rPr>
        <w:t>微拍堂、阿里巴巴、微信视频号、苹果、小鹅通、小米商城；</w:t>
      </w:r>
    </w:p>
    <w:p w14:paraId="5F81E3EA">
      <w:pPr>
        <w:pStyle w:val="21"/>
        <w:spacing w:before="156"/>
        <w:jc w:val="left"/>
        <w:rPr>
          <w:rFonts w:hint="default"/>
        </w:rPr>
      </w:pPr>
      <w:r>
        <w:t>排在</w:t>
      </w:r>
      <w:r>
        <w:rPr>
          <w:b/>
          <w:bCs/>
        </w:rPr>
        <w:t>第21-30名</w:t>
      </w:r>
      <w:r>
        <w:t>的是：</w:t>
      </w:r>
      <w:r>
        <w:rPr>
          <w:rFonts w:hint="eastAsia"/>
          <w:lang w:val="en-US" w:eastAsia="zh-CN"/>
        </w:rPr>
        <w:t>盒马、</w:t>
      </w:r>
      <w:r>
        <w:t>万表网</w:t>
      </w:r>
      <w:r>
        <w:rPr>
          <w:rFonts w:hint="eastAsia"/>
          <w:lang w:eastAsia="zh-CN"/>
        </w:rPr>
        <w:t>、</w:t>
      </w:r>
      <w:r>
        <w:rPr>
          <w:rFonts w:hint="eastAsia"/>
          <w:lang w:val="en-US" w:eastAsia="zh-CN"/>
        </w:rPr>
        <w:t>蘑菇街、有赞、千鸟APP、华为商城、淘特、蜂享家、多多买菜、交易猫</w:t>
      </w:r>
      <w:r>
        <w:t>；</w:t>
      </w:r>
    </w:p>
    <w:p w14:paraId="72813DBF">
      <w:pPr>
        <w:pStyle w:val="21"/>
        <w:spacing w:before="156"/>
        <w:jc w:val="left"/>
        <w:rPr>
          <w:rFonts w:hint="default" w:eastAsia="宋体"/>
          <w:lang w:val="en-US" w:eastAsia="zh-CN"/>
        </w:rPr>
      </w:pPr>
      <w:r>
        <w:t>排在</w:t>
      </w:r>
      <w:r>
        <w:rPr>
          <w:b/>
          <w:bCs/>
        </w:rPr>
        <w:t>第31-</w:t>
      </w:r>
      <w:r>
        <w:rPr>
          <w:rFonts w:hint="default"/>
          <w:b/>
          <w:bCs/>
        </w:rPr>
        <w:t>3</w:t>
      </w:r>
      <w:r>
        <w:rPr>
          <w:rFonts w:hint="eastAsia"/>
          <w:b/>
          <w:bCs/>
          <w:lang w:val="en-US" w:eastAsia="zh-CN"/>
        </w:rPr>
        <w:t>4</w:t>
      </w:r>
      <w:r>
        <w:rPr>
          <w:b/>
          <w:bCs/>
        </w:rPr>
        <w:t>名</w:t>
      </w:r>
      <w:r>
        <w:t>的是：</w:t>
      </w:r>
      <w:bookmarkEnd w:id="15"/>
      <w:r>
        <w:rPr>
          <w:rFonts w:hint="eastAsia"/>
          <w:lang w:val="en-US" w:eastAsia="zh-CN"/>
        </w:rPr>
        <w:t>爱回收、网易、花礼网、快团团。</w:t>
      </w:r>
    </w:p>
    <w:p w14:paraId="479B60A8">
      <w:pPr>
        <w:spacing w:line="360" w:lineRule="auto"/>
        <w:jc w:val="left"/>
      </w:pPr>
      <w:r>
        <w:rPr>
          <w:rFonts w:hint="eastAsia" w:eastAsiaTheme="minorEastAsia"/>
          <w:lang w:eastAsia="zh-CN"/>
        </w:rPr>
        <w:drawing>
          <wp:inline distT="0" distB="0" distL="114300" distR="114300">
            <wp:extent cx="5267960" cy="5866765"/>
            <wp:effectExtent l="0" t="0" r="8890" b="635"/>
            <wp:docPr id="13" name="图片 13" descr="屏幕截图 2025-09-03 130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屏幕截图 2025-09-03 130833"/>
                    <pic:cNvPicPr>
                      <a:picLocks noChangeAspect="1"/>
                    </pic:cNvPicPr>
                  </pic:nvPicPr>
                  <pic:blipFill>
                    <a:blip r:embed="rId13"/>
                    <a:stretch>
                      <a:fillRect/>
                    </a:stretch>
                  </pic:blipFill>
                  <pic:spPr>
                    <a:xfrm>
                      <a:off x="0" y="0"/>
                      <a:ext cx="5267960" cy="5866765"/>
                    </a:xfrm>
                    <a:prstGeom prst="rect">
                      <a:avLst/>
                    </a:prstGeom>
                  </pic:spPr>
                </pic:pic>
              </a:graphicData>
            </a:graphic>
          </wp:inline>
        </w:drawing>
      </w:r>
    </w:p>
    <w:p w14:paraId="4643F065">
      <w:pPr>
        <w:pStyle w:val="21"/>
        <w:spacing w:before="156"/>
        <w:jc w:val="left"/>
        <w:rPr>
          <w:rFonts w:hint="eastAsia" w:eastAsia="宋体"/>
          <w:b/>
          <w:bCs/>
          <w:lang w:eastAsia="zh-CN"/>
        </w:rPr>
      </w:pPr>
      <w:bookmarkStart w:id="16" w:name="_Hlk203492706"/>
      <w:r>
        <w:t>在数字零售消费领域，据“电诉宝”受理用户维权案例，我们从中选取十大典型投诉案例，涉及</w:t>
      </w:r>
      <w:bookmarkEnd w:id="16"/>
      <w:r>
        <w:rPr>
          <w:rFonts w:hint="eastAsia"/>
          <w:b/>
          <w:bCs/>
        </w:rPr>
        <w:t>抖音、微店、蘑菇街、小鹅通、拍机堂、有赞、小红书、快手、闲鱼、京东</w:t>
      </w:r>
      <w:r>
        <w:rPr>
          <w:rFonts w:hint="eastAsia"/>
          <w:b/>
          <w:bCs/>
          <w:lang w:eastAsia="zh-CN"/>
        </w:rPr>
        <w:t>。</w:t>
      </w:r>
    </w:p>
    <w:p w14:paraId="3C2D31F4">
      <w:pPr>
        <w:pStyle w:val="21"/>
        <w:spacing w:before="156"/>
        <w:ind w:firstLine="0" w:firstLineChars="0"/>
        <w:jc w:val="left"/>
        <w:rPr>
          <w:rFonts w:hint="eastAsia" w:eastAsia="宋体"/>
          <w:b/>
          <w:bCs/>
          <w:lang w:eastAsia="zh-CN"/>
        </w:rPr>
      </w:pPr>
      <w:r>
        <w:rPr>
          <w:rFonts w:hint="eastAsia" w:eastAsia="宋体"/>
          <w:b/>
          <w:bCs/>
          <w:lang w:eastAsia="zh-CN"/>
        </w:rPr>
        <w:drawing>
          <wp:inline distT="0" distB="0" distL="114300" distR="114300">
            <wp:extent cx="5273040" cy="4831080"/>
            <wp:effectExtent l="0" t="0" r="3810" b="7620"/>
            <wp:docPr id="26" name="图片 26" descr="2025年8月数字零售投诉十大典型案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025年8月数字零售投诉十大典型案例"/>
                    <pic:cNvPicPr>
                      <a:picLocks noChangeAspect="1"/>
                    </pic:cNvPicPr>
                  </pic:nvPicPr>
                  <pic:blipFill>
                    <a:blip r:embed="rId14"/>
                    <a:stretch>
                      <a:fillRect/>
                    </a:stretch>
                  </pic:blipFill>
                  <pic:spPr>
                    <a:xfrm>
                      <a:off x="0" y="0"/>
                      <a:ext cx="5273040" cy="4831080"/>
                    </a:xfrm>
                    <a:prstGeom prst="rect">
                      <a:avLst/>
                    </a:prstGeom>
                  </pic:spPr>
                </pic:pic>
              </a:graphicData>
            </a:graphic>
          </wp:inline>
        </w:drawing>
      </w:r>
    </w:p>
    <w:p w14:paraId="48DEF198">
      <w:pPr>
        <w:widowControl/>
        <w:spacing w:before="100" w:beforeAutospacing="1" w:after="100" w:afterAutospacing="1" w:line="360" w:lineRule="auto"/>
        <w:ind w:firstLine="480"/>
        <w:jc w:val="left"/>
        <w:rPr>
          <w:rFonts w:hint="eastAsia" w:eastAsia="宋体"/>
          <w:lang w:val="en-US" w:eastAsia="zh-CN"/>
        </w:rPr>
      </w:pPr>
      <w:r>
        <w:rPr>
          <w:rFonts w:ascii="宋体" w:hAnsi="宋体" w:eastAsia="宋体" w:cs="宋体"/>
          <w:b/>
          <w:bCs/>
          <w:kern w:val="0"/>
          <w:sz w:val="24"/>
        </w:rPr>
        <w:t>【案例一】用户投诉</w:t>
      </w:r>
      <w:r>
        <w:rPr>
          <w:rFonts w:hint="eastAsia" w:ascii="宋体" w:hAnsi="宋体" w:eastAsia="宋体" w:cs="宋体"/>
          <w:b/>
          <w:bCs/>
          <w:kern w:val="0"/>
          <w:sz w:val="24"/>
          <w:lang w:eastAsia="zh-CN"/>
        </w:rPr>
        <w:t>“</w:t>
      </w:r>
      <w:r>
        <w:rPr>
          <w:rFonts w:hint="eastAsia" w:ascii="宋体" w:hAnsi="宋体" w:eastAsia="宋体" w:cs="宋体"/>
          <w:b/>
          <w:bCs/>
          <w:kern w:val="0"/>
          <w:sz w:val="24"/>
          <w:lang w:val="en-US" w:eastAsia="zh-CN"/>
        </w:rPr>
        <w:t>抖音电商</w:t>
      </w:r>
      <w:r>
        <w:rPr>
          <w:rFonts w:hint="eastAsia" w:ascii="宋体" w:hAnsi="宋体" w:eastAsia="宋体" w:cs="宋体"/>
          <w:b/>
          <w:bCs/>
          <w:kern w:val="0"/>
          <w:sz w:val="24"/>
          <w:lang w:eastAsia="zh-CN"/>
        </w:rPr>
        <w:t>”</w:t>
      </w:r>
      <w:r>
        <w:rPr>
          <w:rFonts w:hint="eastAsia" w:ascii="Segoe UI" w:hAnsi="Segoe UI" w:eastAsia="宋体" w:cs="Segoe UI"/>
          <w:b/>
          <w:bCs/>
          <w:i w:val="0"/>
          <w:iCs w:val="0"/>
          <w:caps w:val="0"/>
          <w:color w:val="404040"/>
          <w:spacing w:val="0"/>
          <w:sz w:val="24"/>
          <w:szCs w:val="24"/>
          <w:shd w:val="clear" w:fill="FFFFFF"/>
          <w:lang w:val="en-US" w:eastAsia="zh-CN"/>
        </w:rPr>
        <w:t>某</w:t>
      </w:r>
      <w:r>
        <w:rPr>
          <w:rFonts w:ascii="Segoe UI" w:hAnsi="Segoe UI" w:eastAsia="Segoe UI" w:cs="Segoe UI"/>
          <w:b/>
          <w:bCs/>
          <w:i w:val="0"/>
          <w:iCs w:val="0"/>
          <w:caps w:val="0"/>
          <w:color w:val="404040"/>
          <w:spacing w:val="0"/>
          <w:sz w:val="24"/>
          <w:szCs w:val="24"/>
          <w:shd w:val="clear" w:fill="FFFFFF"/>
        </w:rPr>
        <w:t>工作坊涉嫌虚假宣传及拒绝开具发票</w:t>
      </w:r>
    </w:p>
    <w:p w14:paraId="6E2613DA">
      <w:pPr>
        <w:widowControl/>
        <w:spacing w:before="100" w:beforeAutospacing="1" w:after="100" w:afterAutospacing="1" w:line="360" w:lineRule="auto"/>
        <w:ind w:firstLine="480"/>
        <w:jc w:val="left"/>
        <w:rPr>
          <w:rFonts w:ascii="宋体" w:hAnsi="宋体" w:eastAsia="宋体" w:cs="宋体"/>
          <w:kern w:val="0"/>
          <w:sz w:val="24"/>
        </w:rPr>
      </w:pPr>
      <w:r>
        <w:rPr>
          <w:rFonts w:hint="eastAsia" w:ascii="宋体" w:hAnsi="宋体" w:eastAsia="宋体" w:cs="宋体"/>
          <w:kern w:val="0"/>
          <w:sz w:val="24"/>
          <w:lang w:val="en-US" w:eastAsia="zh-CN"/>
        </w:rPr>
        <w:t>8</w:t>
      </w:r>
      <w:r>
        <w:rPr>
          <w:rFonts w:ascii="宋体" w:hAnsi="宋体" w:eastAsia="宋体" w:cs="宋体"/>
          <w:kern w:val="0"/>
          <w:sz w:val="24"/>
        </w:rPr>
        <w:t>月</w:t>
      </w:r>
      <w:r>
        <w:rPr>
          <w:rFonts w:hint="eastAsia" w:ascii="宋体" w:hAnsi="宋体" w:eastAsia="宋体" w:cs="宋体"/>
          <w:kern w:val="0"/>
          <w:sz w:val="24"/>
          <w:lang w:val="en-US" w:eastAsia="zh-CN"/>
        </w:rPr>
        <w:t>30</w:t>
      </w:r>
      <w:r>
        <w:rPr>
          <w:rFonts w:ascii="宋体" w:hAnsi="宋体" w:eastAsia="宋体" w:cs="宋体"/>
          <w:kern w:val="0"/>
          <w:sz w:val="24"/>
        </w:rPr>
        <w:t>日，</w:t>
      </w:r>
      <w:r>
        <w:rPr>
          <w:rFonts w:hint="eastAsia" w:ascii="宋体" w:hAnsi="宋体" w:eastAsia="宋体" w:cs="宋体"/>
          <w:kern w:val="0"/>
          <w:sz w:val="24"/>
          <w:lang w:val="en-US" w:eastAsia="zh-CN"/>
        </w:rPr>
        <w:t>河南</w:t>
      </w:r>
      <w:r>
        <w:rPr>
          <w:rFonts w:hint="eastAsia" w:ascii="宋体" w:hAnsi="宋体" w:eastAsia="宋体" w:cs="宋体"/>
          <w:kern w:val="0"/>
          <w:sz w:val="24"/>
        </w:rPr>
        <w:t>省的</w:t>
      </w:r>
      <w:r>
        <w:rPr>
          <w:rFonts w:hint="eastAsia" w:ascii="宋体" w:hAnsi="宋体" w:eastAsia="宋体" w:cs="宋体"/>
          <w:kern w:val="0"/>
          <w:sz w:val="24"/>
          <w:lang w:val="en-US" w:eastAsia="zh-CN"/>
        </w:rPr>
        <w:t>刘</w:t>
      </w:r>
      <w:r>
        <w:rPr>
          <w:rFonts w:hint="eastAsia" w:ascii="宋体" w:hAnsi="宋体" w:eastAsia="宋体" w:cs="宋体"/>
          <w:kern w:val="0"/>
          <w:sz w:val="24"/>
        </w:rPr>
        <w:t>女士向电诉宝投诉称</w:t>
      </w:r>
      <w:r>
        <w:rPr>
          <w:rFonts w:hint="eastAsia" w:ascii="宋体" w:hAnsi="宋体" w:eastAsia="宋体" w:cs="宋体"/>
          <w:kern w:val="0"/>
          <w:sz w:val="24"/>
          <w:lang w:val="en-US" w:eastAsia="zh-CN"/>
        </w:rPr>
        <w:t>某</w:t>
      </w:r>
      <w:r>
        <w:rPr>
          <w:rFonts w:hint="eastAsia" w:ascii="宋体" w:hAnsi="宋体" w:eastAsia="宋体" w:cs="宋体"/>
          <w:kern w:val="0"/>
          <w:sz w:val="24"/>
        </w:rPr>
        <w:t>工作坊涉嫌虚假宣传与诱导消费：其于2025年6月3日购买价值3980元的自媒体AI私教课程，对方承诺提供一对一指导、先进AI工具、无人直播及数字人短视频等功能，但实际仅提供基础内容且未兑现多项服务，亦未开具发票，涉嫌违反消费者权益保护法及发票管理办法，要求相关部门予以查处。</w:t>
      </w:r>
    </w:p>
    <w:p w14:paraId="19027326">
      <w:pPr>
        <w:widowControl/>
        <w:spacing w:before="100" w:beforeAutospacing="1" w:after="100" w:afterAutospacing="1" w:line="360" w:lineRule="auto"/>
        <w:ind w:firstLine="480"/>
        <w:jc w:val="left"/>
        <w:rPr>
          <w:rFonts w:ascii="宋体" w:hAnsi="宋体" w:eastAsia="宋体" w:cs="宋体"/>
          <w:b/>
          <w:bCs/>
          <w:kern w:val="0"/>
          <w:sz w:val="24"/>
        </w:rPr>
      </w:pPr>
      <w:r>
        <w:rPr>
          <w:rFonts w:ascii="宋体" w:hAnsi="宋体" w:eastAsia="宋体" w:cs="宋体"/>
          <w:b/>
          <w:bCs/>
          <w:kern w:val="0"/>
          <w:sz w:val="24"/>
        </w:rPr>
        <w:t>【案例二】消费者投诉“微店”</w:t>
      </w:r>
      <w:r>
        <w:rPr>
          <w:rFonts w:hint="eastAsia" w:ascii="宋体" w:hAnsi="宋体" w:eastAsia="宋体" w:cs="宋体"/>
          <w:b/>
          <w:bCs/>
          <w:kern w:val="0"/>
          <w:sz w:val="24"/>
        </w:rPr>
        <w:t>商家涉嫌销售非正品CL鞋且拒绝售后</w:t>
      </w:r>
    </w:p>
    <w:p w14:paraId="4AD68822">
      <w:pPr>
        <w:widowControl/>
        <w:spacing w:before="100" w:beforeAutospacing="1" w:after="100" w:afterAutospacing="1" w:line="360" w:lineRule="auto"/>
        <w:ind w:firstLine="480"/>
        <w:jc w:val="left"/>
        <w:rPr>
          <w:rFonts w:ascii="宋体" w:hAnsi="宋体" w:eastAsia="宋体" w:cs="宋体"/>
          <w:kern w:val="0"/>
          <w:sz w:val="24"/>
        </w:rPr>
      </w:pPr>
      <w:r>
        <w:rPr>
          <w:rFonts w:hint="eastAsia" w:ascii="宋体" w:hAnsi="宋体" w:eastAsia="宋体" w:cs="宋体"/>
          <w:kern w:val="0"/>
          <w:sz w:val="24"/>
          <w:lang w:val="en-US" w:eastAsia="zh-CN"/>
        </w:rPr>
        <w:t>8</w:t>
      </w:r>
      <w:r>
        <w:rPr>
          <w:rFonts w:ascii="宋体" w:hAnsi="宋体" w:eastAsia="宋体" w:cs="宋体"/>
          <w:kern w:val="0"/>
          <w:sz w:val="24"/>
        </w:rPr>
        <w:t>月13日，</w:t>
      </w:r>
      <w:r>
        <w:rPr>
          <w:rFonts w:hint="eastAsia" w:ascii="宋体" w:hAnsi="宋体" w:eastAsia="宋体" w:cs="宋体"/>
          <w:kern w:val="0"/>
          <w:sz w:val="24"/>
          <w:lang w:val="en-US" w:eastAsia="zh-CN"/>
        </w:rPr>
        <w:t>河北</w:t>
      </w:r>
      <w:r>
        <w:rPr>
          <w:rFonts w:ascii="宋体" w:hAnsi="宋体" w:eastAsia="宋体" w:cs="宋体"/>
          <w:kern w:val="0"/>
          <w:sz w:val="24"/>
        </w:rPr>
        <w:t>省的</w:t>
      </w:r>
      <w:r>
        <w:rPr>
          <w:rFonts w:hint="eastAsia" w:ascii="宋体" w:hAnsi="宋体" w:eastAsia="宋体" w:cs="宋体"/>
          <w:kern w:val="0"/>
          <w:sz w:val="24"/>
          <w:lang w:val="en-US" w:eastAsia="zh-CN"/>
        </w:rPr>
        <w:t>贾</w:t>
      </w:r>
      <w:r>
        <w:rPr>
          <w:rFonts w:ascii="宋体" w:hAnsi="宋体" w:eastAsia="宋体" w:cs="宋体"/>
          <w:kern w:val="0"/>
          <w:sz w:val="24"/>
        </w:rPr>
        <w:t>先生向电诉宝投诉称其在微店平台于</w:t>
      </w:r>
      <w:r>
        <w:rPr>
          <w:rFonts w:hint="eastAsia" w:ascii="宋体" w:hAnsi="宋体" w:eastAsia="宋体" w:cs="宋体"/>
          <w:kern w:val="0"/>
          <w:sz w:val="24"/>
        </w:rPr>
        <w:t>7月29日收到所购鞋品，穿着两小时后出现掉钻问题。经详细检查，发现商品细节与CL正品不符，且左右脚后跟存在明显色差（左脚局部大面积无色）。用户多次联系商家，对方均推卸责任，未提供解决方案。尽管平台已介入，纠纷仍未得到合理处理。用户强调作为未成年人消费者，其权益应受保护，要求平台公正公开地维护消费者合法权益，并责令商家履行售后责任。</w:t>
      </w:r>
    </w:p>
    <w:p w14:paraId="7BFEC150">
      <w:pPr>
        <w:widowControl/>
        <w:spacing w:before="100" w:beforeAutospacing="1" w:after="100" w:afterAutospacing="1" w:line="360" w:lineRule="auto"/>
        <w:ind w:firstLine="480"/>
        <w:jc w:val="left"/>
        <w:rPr>
          <w:rFonts w:hint="eastAsia" w:ascii="宋体" w:hAnsi="宋体" w:eastAsia="宋体" w:cs="宋体"/>
          <w:b/>
          <w:bCs/>
          <w:kern w:val="0"/>
          <w:sz w:val="24"/>
        </w:rPr>
      </w:pPr>
      <w:r>
        <w:rPr>
          <w:rFonts w:ascii="宋体" w:hAnsi="宋体" w:eastAsia="宋体" w:cs="宋体"/>
          <w:b/>
          <w:bCs/>
          <w:kern w:val="0"/>
          <w:sz w:val="24"/>
        </w:rPr>
        <w:t>【案例</w:t>
      </w:r>
      <w:r>
        <w:rPr>
          <w:rFonts w:hint="eastAsia" w:ascii="宋体" w:hAnsi="宋体" w:eastAsia="宋体" w:cs="宋体"/>
          <w:b/>
          <w:bCs/>
          <w:kern w:val="0"/>
          <w:sz w:val="24"/>
        </w:rPr>
        <w:t>三</w:t>
      </w:r>
      <w:r>
        <w:rPr>
          <w:rFonts w:ascii="宋体" w:hAnsi="宋体" w:eastAsia="宋体" w:cs="宋体"/>
          <w:b/>
          <w:bCs/>
          <w:kern w:val="0"/>
          <w:sz w:val="24"/>
        </w:rPr>
        <w:t>】</w:t>
      </w:r>
      <w:r>
        <w:rPr>
          <w:rFonts w:hint="eastAsia" w:ascii="宋体" w:hAnsi="宋体" w:eastAsia="宋体" w:cs="宋体"/>
          <w:b/>
          <w:bCs/>
          <w:kern w:val="0"/>
          <w:sz w:val="24"/>
          <w:lang w:eastAsia="zh-CN"/>
        </w:rPr>
        <w:t>“</w:t>
      </w:r>
      <w:r>
        <w:rPr>
          <w:rFonts w:hint="eastAsia" w:ascii="宋体" w:hAnsi="宋体" w:eastAsia="宋体" w:cs="宋体"/>
          <w:b/>
          <w:bCs/>
          <w:kern w:val="0"/>
          <w:sz w:val="24"/>
        </w:rPr>
        <w:t>蘑菇街</w:t>
      </w:r>
      <w:r>
        <w:rPr>
          <w:rFonts w:hint="eastAsia" w:ascii="宋体" w:hAnsi="宋体" w:eastAsia="宋体" w:cs="宋体"/>
          <w:b/>
          <w:bCs/>
          <w:kern w:val="0"/>
          <w:sz w:val="24"/>
          <w:lang w:eastAsia="zh-CN"/>
        </w:rPr>
        <w:t>”</w:t>
      </w:r>
      <w:r>
        <w:rPr>
          <w:rFonts w:hint="eastAsia" w:ascii="宋体" w:hAnsi="宋体" w:eastAsia="宋体" w:cs="宋体"/>
          <w:b/>
          <w:bCs/>
          <w:kern w:val="0"/>
          <w:sz w:val="24"/>
        </w:rPr>
        <w:t>被曝平台商家退货纠纷处理不力</w:t>
      </w:r>
    </w:p>
    <w:p w14:paraId="6F113820">
      <w:pPr>
        <w:widowControl/>
        <w:spacing w:before="100" w:beforeAutospacing="1" w:after="100" w:afterAutospacing="1" w:line="360" w:lineRule="auto"/>
        <w:ind w:firstLine="480"/>
        <w:jc w:val="left"/>
        <w:rPr>
          <w:rFonts w:hint="eastAsia" w:ascii="宋体" w:hAnsi="宋体" w:eastAsia="宋体" w:cs="宋体"/>
          <w:kern w:val="0"/>
          <w:sz w:val="24"/>
        </w:rPr>
      </w:pPr>
      <w:r>
        <w:rPr>
          <w:rFonts w:hint="eastAsia" w:ascii="宋体" w:hAnsi="宋体" w:eastAsia="宋体" w:cs="宋体"/>
          <w:kern w:val="0"/>
          <w:sz w:val="24"/>
        </w:rPr>
        <w:t>8月29日，福建省林先生向“电诉宝”投诉称，他于7月1日在蘑菇街下单购物，7月11日申请退款并通过上门取件退货，物流显示包裹已发出。7月21日，商家反馈少件，林先生与快递核实，对方承诺可按丢件赔付。7月26日，林先生要求商家提供开箱视频，但客服仅以“稍等”“在核实”等理由推脱，始终未出示有效证据。</w:t>
      </w:r>
    </w:p>
    <w:p w14:paraId="5E9C8D7D">
      <w:pPr>
        <w:widowControl/>
        <w:spacing w:before="100" w:beforeAutospacing="1" w:after="100" w:afterAutospacing="1" w:line="360" w:lineRule="auto"/>
        <w:ind w:firstLine="480"/>
        <w:jc w:val="left"/>
        <w:rPr>
          <w:rFonts w:hint="eastAsia" w:ascii="宋体" w:hAnsi="宋体" w:eastAsia="宋体" w:cs="宋体"/>
          <w:kern w:val="0"/>
          <w:sz w:val="24"/>
        </w:rPr>
      </w:pPr>
      <w:r>
        <w:rPr>
          <w:rFonts w:hint="eastAsia" w:ascii="宋体" w:hAnsi="宋体" w:eastAsia="宋体" w:cs="宋体"/>
          <w:kern w:val="0"/>
          <w:sz w:val="24"/>
        </w:rPr>
        <w:t>商家无理由取消林先生退款申请，并于7月30日起停止回复。林先生多次向蘑菇街平台投诉，客服仅重复“反馈情况”，建议其自行协商，未提供实质解决方案，并以“涉及隐私”为由拒绝提供平台与商家沟通记录。因商家未提供丢件证据、平台处理低效，退款问题至今未解决。</w:t>
      </w:r>
    </w:p>
    <w:p w14:paraId="354D092A">
      <w:pPr>
        <w:widowControl/>
        <w:spacing w:before="100" w:beforeAutospacing="1" w:after="100" w:afterAutospacing="1" w:line="360" w:lineRule="auto"/>
        <w:ind w:firstLine="480"/>
        <w:jc w:val="left"/>
        <w:rPr>
          <w:rFonts w:hint="eastAsia" w:ascii="宋体" w:hAnsi="宋体" w:eastAsia="宋体" w:cs="宋体"/>
          <w:b/>
          <w:kern w:val="0"/>
          <w:sz w:val="24"/>
        </w:rPr>
      </w:pPr>
      <w:r>
        <w:rPr>
          <w:rFonts w:ascii="宋体" w:hAnsi="宋体" w:eastAsia="宋体" w:cs="宋体"/>
          <w:b/>
          <w:kern w:val="0"/>
          <w:sz w:val="24"/>
        </w:rPr>
        <w:t>【案例四】</w:t>
      </w:r>
      <w:r>
        <w:rPr>
          <w:rFonts w:hint="eastAsia" w:ascii="宋体" w:hAnsi="宋体" w:eastAsia="宋体" w:cs="宋体"/>
          <w:b/>
          <w:kern w:val="0"/>
          <w:sz w:val="24"/>
        </w:rPr>
        <w:t>“小鹅通”被曝平台商家拖延退款且扣费不合理</w:t>
      </w:r>
    </w:p>
    <w:p w14:paraId="375DCFCC">
      <w:pPr>
        <w:widowControl/>
        <w:spacing w:before="100" w:beforeAutospacing="1" w:after="100" w:afterAutospacing="1" w:line="360" w:lineRule="auto"/>
        <w:ind w:firstLine="480"/>
        <w:jc w:val="left"/>
        <w:rPr>
          <w:rFonts w:hint="eastAsia" w:ascii="宋体" w:hAnsi="宋体" w:eastAsia="宋体" w:cs="宋体"/>
          <w:b w:val="0"/>
          <w:bCs/>
          <w:kern w:val="0"/>
          <w:sz w:val="24"/>
        </w:rPr>
      </w:pPr>
      <w:r>
        <w:rPr>
          <w:rFonts w:hint="eastAsia" w:ascii="宋体" w:hAnsi="宋体" w:eastAsia="宋体" w:cs="宋体"/>
          <w:b w:val="0"/>
          <w:bCs/>
          <w:kern w:val="0"/>
          <w:sz w:val="24"/>
        </w:rPr>
        <w:t>8月17日，江苏省的卢女士向“电诉宝”投诉称其于2024年11月16日通过小鹅通平台购买“常青精品课·老唐数学”课程，因实际服务与承诺严重不符申请退款。退款过程中，商家未按实际课时计算，多扣半个月费用，并强行按全款收取高额手续费；在用户未同意方案前，商家拒绝沟通直至其被迫接受不合理条件。</w:t>
      </w:r>
    </w:p>
    <w:p w14:paraId="720B2E49">
      <w:pPr>
        <w:widowControl/>
        <w:spacing w:before="100" w:beforeAutospacing="1" w:after="100" w:afterAutospacing="1" w:line="360" w:lineRule="auto"/>
        <w:ind w:firstLine="480"/>
        <w:jc w:val="left"/>
        <w:rPr>
          <w:rFonts w:hint="eastAsia" w:ascii="宋体" w:hAnsi="宋体" w:eastAsia="宋体" w:cs="宋体"/>
          <w:b w:val="0"/>
          <w:bCs/>
          <w:kern w:val="0"/>
          <w:sz w:val="24"/>
        </w:rPr>
      </w:pPr>
      <w:r>
        <w:rPr>
          <w:rFonts w:hint="eastAsia" w:ascii="宋体" w:hAnsi="宋体" w:eastAsia="宋体" w:cs="宋体"/>
          <w:b w:val="0"/>
          <w:bCs/>
          <w:kern w:val="0"/>
          <w:sz w:val="24"/>
        </w:rPr>
        <w:t>5月27日商家承诺退款，但至今未履行，且拒接电话、回避联系。用户同时投诉小鹅通平台未履行监督责任，对商家失联、推诿行为未及时处理，要求主管部门协调全额退费，并督促小鹅通完善消费者保障机制。</w:t>
      </w:r>
    </w:p>
    <w:p w14:paraId="7F86C65E">
      <w:pPr>
        <w:widowControl/>
        <w:spacing w:before="100" w:beforeAutospacing="1" w:after="100" w:afterAutospacing="1" w:line="360" w:lineRule="auto"/>
        <w:ind w:firstLine="480"/>
        <w:jc w:val="left"/>
        <w:rPr>
          <w:rFonts w:ascii="Segoe UI" w:hAnsi="Segoe UI" w:eastAsia="Segoe UI" w:cs="Segoe UI"/>
          <w:i w:val="0"/>
          <w:iCs w:val="0"/>
          <w:caps w:val="0"/>
          <w:color w:val="404040"/>
          <w:spacing w:val="0"/>
          <w:sz w:val="24"/>
          <w:szCs w:val="24"/>
          <w:shd w:val="clear" w:fill="FFFFFF"/>
        </w:rPr>
      </w:pPr>
      <w:r>
        <w:rPr>
          <w:rFonts w:ascii="宋体" w:hAnsi="宋体" w:eastAsia="宋体" w:cs="宋体"/>
          <w:b/>
          <w:bCs/>
          <w:kern w:val="0"/>
          <w:sz w:val="24"/>
        </w:rPr>
        <w:t>【案例五】</w:t>
      </w:r>
      <w:r>
        <w:rPr>
          <w:rFonts w:hint="eastAsia" w:ascii="宋体" w:hAnsi="宋体" w:eastAsia="宋体" w:cs="宋体"/>
          <w:b/>
          <w:bCs/>
          <w:kern w:val="0"/>
          <w:sz w:val="24"/>
        </w:rPr>
        <w:t>用户投诉</w:t>
      </w:r>
      <w:r>
        <w:rPr>
          <w:rFonts w:ascii="Segoe UI" w:hAnsi="Segoe UI" w:eastAsia="Segoe UI" w:cs="Segoe UI"/>
          <w:b/>
          <w:bCs/>
          <w:i w:val="0"/>
          <w:iCs w:val="0"/>
          <w:caps w:val="0"/>
          <w:color w:val="404040"/>
          <w:spacing w:val="0"/>
          <w:sz w:val="24"/>
          <w:szCs w:val="24"/>
          <w:shd w:val="clear" w:fill="FFFFFF"/>
        </w:rPr>
        <w:t>拍机堂平台涉嫌虚假宣传且拒不履行赔偿责任</w:t>
      </w:r>
    </w:p>
    <w:p w14:paraId="79F48D0B">
      <w:pPr>
        <w:widowControl/>
        <w:spacing w:before="100" w:beforeAutospacing="1" w:after="100" w:afterAutospacing="1" w:line="360" w:lineRule="auto"/>
        <w:ind w:firstLine="480"/>
        <w:jc w:val="left"/>
        <w:rPr>
          <w:rFonts w:hint="eastAsia" w:ascii="宋体" w:hAnsi="宋体" w:eastAsia="宋体" w:cs="宋体"/>
          <w:kern w:val="0"/>
          <w:sz w:val="24"/>
        </w:rPr>
      </w:pPr>
      <w:r>
        <w:rPr>
          <w:rFonts w:hint="eastAsia" w:ascii="宋体" w:hAnsi="宋体" w:eastAsia="宋体" w:cs="宋体"/>
          <w:kern w:val="0"/>
          <w:sz w:val="24"/>
          <w:lang w:val="en-US" w:eastAsia="zh-CN"/>
        </w:rPr>
        <w:t>8</w:t>
      </w:r>
      <w:r>
        <w:rPr>
          <w:rFonts w:ascii="宋体" w:hAnsi="宋体" w:eastAsia="宋体" w:cs="宋体"/>
          <w:kern w:val="0"/>
          <w:sz w:val="24"/>
        </w:rPr>
        <w:t>月</w:t>
      </w:r>
      <w:r>
        <w:rPr>
          <w:rFonts w:hint="eastAsia" w:ascii="宋体" w:hAnsi="宋体" w:eastAsia="宋体" w:cs="宋体"/>
          <w:kern w:val="0"/>
          <w:sz w:val="24"/>
          <w:lang w:val="en-US" w:eastAsia="zh-CN"/>
        </w:rPr>
        <w:t>9</w:t>
      </w:r>
      <w:r>
        <w:rPr>
          <w:rFonts w:ascii="宋体" w:hAnsi="宋体" w:eastAsia="宋体" w:cs="宋体"/>
          <w:kern w:val="0"/>
          <w:sz w:val="24"/>
        </w:rPr>
        <w:t>日，</w:t>
      </w:r>
      <w:r>
        <w:fldChar w:fldCharType="begin"/>
      </w:r>
      <w:r>
        <w:instrText xml:space="preserve"> HYPERLINK "http://www.100ec.cn/zt/df/" \t "_blank" </w:instrText>
      </w:r>
      <w:r>
        <w:fldChar w:fldCharType="separate"/>
      </w:r>
      <w:r>
        <w:rPr>
          <w:rFonts w:ascii="宋体" w:hAnsi="宋体" w:eastAsia="宋体" w:cs="宋体"/>
          <w:kern w:val="0"/>
          <w:sz w:val="24"/>
        </w:rPr>
        <w:t>广东</w:t>
      </w:r>
      <w:r>
        <w:rPr>
          <w:rFonts w:ascii="宋体" w:hAnsi="宋体" w:eastAsia="宋体" w:cs="宋体"/>
          <w:kern w:val="0"/>
          <w:sz w:val="24"/>
        </w:rPr>
        <w:fldChar w:fldCharType="end"/>
      </w:r>
      <w:r>
        <w:rPr>
          <w:rFonts w:ascii="宋体" w:hAnsi="宋体" w:eastAsia="宋体" w:cs="宋体"/>
          <w:kern w:val="0"/>
          <w:sz w:val="24"/>
        </w:rPr>
        <w:t>省的</w:t>
      </w:r>
      <w:r>
        <w:rPr>
          <w:rFonts w:hint="eastAsia" w:ascii="宋体" w:hAnsi="宋体" w:eastAsia="宋体" w:cs="宋体"/>
          <w:kern w:val="0"/>
          <w:sz w:val="24"/>
          <w:lang w:val="en-US" w:eastAsia="zh-CN"/>
        </w:rPr>
        <w:t>孙先生</w:t>
      </w:r>
      <w:r>
        <w:rPr>
          <w:rFonts w:ascii="宋体" w:hAnsi="宋体" w:eastAsia="宋体" w:cs="宋体"/>
          <w:kern w:val="0"/>
          <w:sz w:val="24"/>
        </w:rPr>
        <w:t>向电诉宝投诉称其于</w:t>
      </w:r>
      <w:r>
        <w:rPr>
          <w:rFonts w:hint="eastAsia" w:ascii="宋体" w:hAnsi="宋体" w:eastAsia="宋体" w:cs="宋体"/>
          <w:kern w:val="0"/>
          <w:sz w:val="24"/>
        </w:rPr>
        <w:t>8月5日在拍机堂平台竞拍购买一台iPad Air，因商品标注"功能齐全、售价低廉"而下单。到货后验机发现存在ID无法登录等严重功能问题，与宣传描述完全不符。</w:t>
      </w:r>
    </w:p>
    <w:p w14:paraId="04EE5204">
      <w:pPr>
        <w:widowControl/>
        <w:spacing w:before="100" w:beforeAutospacing="1" w:after="100" w:afterAutospacing="1" w:line="360" w:lineRule="auto"/>
        <w:ind w:firstLine="480"/>
        <w:jc w:val="left"/>
        <w:rPr>
          <w:rFonts w:ascii="宋体" w:hAnsi="宋体" w:eastAsia="宋体" w:cs="宋体"/>
          <w:kern w:val="0"/>
          <w:sz w:val="24"/>
        </w:rPr>
      </w:pPr>
      <w:r>
        <w:rPr>
          <w:rFonts w:hint="eastAsia" w:ascii="宋体" w:hAnsi="宋体" w:eastAsia="宋体" w:cs="宋体"/>
          <w:kern w:val="0"/>
          <w:sz w:val="24"/>
        </w:rPr>
        <w:t>用户认为商家明知商品存在虚假情况仍销售，已违反《消费者权益保护法》第55条规定，要求退一赔三。虽已退回商品并申请售后，但平台驳回了其申诉。用户现要求平台重新审理，切实维护消费者合法权益。</w:t>
      </w:r>
    </w:p>
    <w:p w14:paraId="3CB140FA">
      <w:pPr>
        <w:pStyle w:val="10"/>
        <w:spacing w:line="360" w:lineRule="auto"/>
        <w:ind w:firstLine="480"/>
        <w:rPr>
          <w:rFonts w:ascii="宋体" w:hAnsi="宋体" w:eastAsia="宋体"/>
          <w:b/>
          <w:bCs/>
        </w:rPr>
      </w:pPr>
      <w:r>
        <w:rPr>
          <w:rFonts w:ascii="宋体" w:hAnsi="宋体" w:eastAsia="宋体"/>
          <w:b/>
          <w:bCs/>
        </w:rPr>
        <w:t>【案例六】</w:t>
      </w:r>
      <w:r>
        <w:rPr>
          <w:rFonts w:hint="eastAsia" w:ascii="宋体" w:hAnsi="宋体" w:eastAsia="宋体"/>
          <w:b/>
          <w:bCs/>
          <w:lang w:eastAsia="zh-CN"/>
        </w:rPr>
        <w:t>“</w:t>
      </w:r>
      <w:r>
        <w:rPr>
          <w:rFonts w:hint="eastAsia" w:ascii="宋体" w:hAnsi="宋体" w:eastAsia="宋体"/>
          <w:b/>
          <w:bCs/>
          <w:lang w:val="en-US" w:eastAsia="zh-CN"/>
        </w:rPr>
        <w:t>有赞</w:t>
      </w:r>
      <w:r>
        <w:rPr>
          <w:rFonts w:hint="eastAsia" w:ascii="宋体" w:hAnsi="宋体" w:eastAsia="宋体"/>
          <w:b/>
          <w:bCs/>
          <w:lang w:eastAsia="zh-CN"/>
        </w:rPr>
        <w:t>”</w:t>
      </w:r>
      <w:r>
        <w:rPr>
          <w:rFonts w:hint="eastAsia" w:ascii="宋体" w:hAnsi="宋体" w:eastAsia="宋体"/>
          <w:b/>
          <w:bCs/>
          <w:lang w:val="en-US" w:eastAsia="zh-CN"/>
        </w:rPr>
        <w:t>平台</w:t>
      </w:r>
      <w:r>
        <w:rPr>
          <w:rFonts w:hint="eastAsia" w:ascii="宋体" w:hAnsi="宋体" w:eastAsia="宋体"/>
          <w:b/>
          <w:bCs/>
        </w:rPr>
        <w:t>商家</w:t>
      </w:r>
      <w:r>
        <w:rPr>
          <w:rFonts w:hint="eastAsia" w:ascii="宋体" w:hAnsi="宋体" w:eastAsia="宋体"/>
          <w:b/>
          <w:bCs/>
          <w:lang w:val="en-US" w:eastAsia="zh-CN"/>
        </w:rPr>
        <w:t>被指</w:t>
      </w:r>
      <w:r>
        <w:rPr>
          <w:rFonts w:hint="eastAsia" w:ascii="宋体" w:hAnsi="宋体" w:eastAsia="宋体"/>
          <w:b/>
          <w:bCs/>
        </w:rPr>
        <w:t>恶意投诉物流</w:t>
      </w:r>
    </w:p>
    <w:p w14:paraId="17D65B37">
      <w:pPr>
        <w:widowControl/>
        <w:spacing w:before="100" w:beforeAutospacing="1" w:after="100" w:afterAutospacing="1" w:line="360" w:lineRule="auto"/>
        <w:ind w:firstLine="480"/>
        <w:jc w:val="left"/>
        <w:rPr>
          <w:rFonts w:hint="eastAsia" w:ascii="宋体" w:hAnsi="宋体" w:eastAsia="宋体" w:cs="宋体"/>
          <w:kern w:val="0"/>
          <w:sz w:val="24"/>
        </w:rPr>
      </w:pPr>
      <w:r>
        <w:rPr>
          <w:rFonts w:hint="eastAsia" w:ascii="宋体" w:hAnsi="宋体" w:eastAsia="宋体" w:cs="宋体"/>
          <w:kern w:val="0"/>
          <w:sz w:val="24"/>
          <w:lang w:val="en-US" w:eastAsia="zh-CN"/>
        </w:rPr>
        <w:t>8</w:t>
      </w:r>
      <w:r>
        <w:rPr>
          <w:rFonts w:hint="eastAsia" w:ascii="宋体" w:hAnsi="宋体" w:eastAsia="宋体" w:cs="宋体"/>
          <w:kern w:val="0"/>
          <w:sz w:val="24"/>
        </w:rPr>
        <w:t>月</w:t>
      </w:r>
      <w:r>
        <w:rPr>
          <w:rFonts w:hint="eastAsia" w:ascii="宋体" w:hAnsi="宋体" w:eastAsia="宋体" w:cs="宋体"/>
          <w:kern w:val="0"/>
          <w:sz w:val="24"/>
          <w:lang w:val="en-US" w:eastAsia="zh-CN"/>
        </w:rPr>
        <w:t>24</w:t>
      </w:r>
      <w:r>
        <w:rPr>
          <w:rFonts w:hint="eastAsia" w:ascii="宋体" w:hAnsi="宋体" w:eastAsia="宋体" w:cs="宋体"/>
          <w:kern w:val="0"/>
          <w:sz w:val="24"/>
        </w:rPr>
        <w:t>日，</w:t>
      </w:r>
      <w:r>
        <w:rPr>
          <w:rFonts w:hint="eastAsia" w:ascii="宋体" w:hAnsi="宋体" w:eastAsia="宋体" w:cs="宋体"/>
          <w:kern w:val="0"/>
          <w:sz w:val="24"/>
          <w:lang w:val="en-US" w:eastAsia="zh-CN"/>
        </w:rPr>
        <w:t>河南</w:t>
      </w:r>
      <w:r>
        <w:rPr>
          <w:rFonts w:hint="eastAsia" w:ascii="宋体" w:hAnsi="宋体" w:eastAsia="宋体" w:cs="宋体"/>
          <w:kern w:val="0"/>
          <w:sz w:val="24"/>
        </w:rPr>
        <w:t>省的</w:t>
      </w:r>
      <w:r>
        <w:rPr>
          <w:rFonts w:hint="eastAsia" w:ascii="宋体" w:hAnsi="宋体" w:eastAsia="宋体" w:cs="宋体"/>
          <w:kern w:val="0"/>
          <w:sz w:val="24"/>
          <w:lang w:val="en-US" w:eastAsia="zh-CN"/>
        </w:rPr>
        <w:t>王</w:t>
      </w:r>
      <w:r>
        <w:rPr>
          <w:rFonts w:hint="eastAsia" w:ascii="宋体" w:hAnsi="宋体" w:eastAsia="宋体" w:cs="宋体"/>
          <w:kern w:val="0"/>
          <w:sz w:val="24"/>
        </w:rPr>
        <w:t>女士向电诉宝投诉称其在拒签商品后，商家以“退回商品为二次包装且货品不符”为由恶意投诉物流公司。尽管商家仅提供了一张拆开包裹与其他衣物的合影（缺乏完整开箱视频作为证据），物流公司仍迫于压力要求用户承担赔偿责任。</w:t>
      </w:r>
    </w:p>
    <w:p w14:paraId="36E97E61">
      <w:pPr>
        <w:widowControl/>
        <w:spacing w:before="100" w:beforeAutospacing="1" w:after="100" w:afterAutospacing="1" w:line="360" w:lineRule="auto"/>
        <w:ind w:firstLine="480"/>
        <w:jc w:val="left"/>
        <w:rPr>
          <w:rFonts w:ascii="宋体" w:hAnsi="宋体" w:eastAsia="宋体" w:cs="宋体"/>
          <w:kern w:val="0"/>
          <w:sz w:val="24"/>
        </w:rPr>
      </w:pPr>
      <w:r>
        <w:rPr>
          <w:rFonts w:hint="eastAsia" w:ascii="宋体" w:hAnsi="宋体" w:eastAsia="宋体" w:cs="宋体"/>
          <w:kern w:val="0"/>
          <w:sz w:val="24"/>
        </w:rPr>
        <w:t>用户强调商家已实际收到全部退回商品并完成退款，现却通过虚假指控讹诈物流公司。当用户尝试与商家沟通时，对方拒绝回应并声称“投诉对象是物流，与用户无关”。用户认为商家此举涉嫌恶意欺诈，要求平台介入调查并制止此类不正当行为。</w:t>
      </w:r>
    </w:p>
    <w:p w14:paraId="1103E2BD">
      <w:pPr>
        <w:pStyle w:val="21"/>
        <w:spacing w:before="156"/>
        <w:ind w:firstLine="482"/>
        <w:jc w:val="left"/>
        <w:rPr>
          <w:rFonts w:hint="eastAsia" w:ascii="宋体" w:hAnsi="宋体" w:eastAsia="宋体" w:cs="宋体"/>
          <w:b/>
          <w:bCs/>
          <w:kern w:val="0"/>
          <w:sz w:val="24"/>
        </w:rPr>
      </w:pPr>
      <w:r>
        <w:rPr>
          <w:rFonts w:ascii="宋体" w:hAnsi="宋体" w:eastAsia="宋体" w:cs="宋体"/>
          <w:b/>
          <w:bCs/>
          <w:kern w:val="0"/>
          <w:sz w:val="24"/>
        </w:rPr>
        <w:t>【案例七】</w:t>
      </w:r>
      <w:r>
        <w:rPr>
          <w:rFonts w:hint="eastAsia" w:ascii="宋体" w:hAnsi="宋体" w:eastAsia="宋体" w:cs="宋体"/>
          <w:b/>
          <w:bCs/>
          <w:kern w:val="0"/>
          <w:sz w:val="24"/>
        </w:rPr>
        <w:t>用户投诉</w:t>
      </w:r>
      <w:r>
        <w:rPr>
          <w:rFonts w:hint="eastAsia" w:cs="宋体"/>
          <w:b/>
          <w:bCs/>
          <w:kern w:val="0"/>
          <w:sz w:val="24"/>
          <w:lang w:eastAsia="zh-CN"/>
        </w:rPr>
        <w:t>“</w:t>
      </w:r>
      <w:r>
        <w:rPr>
          <w:rFonts w:hint="eastAsia" w:ascii="宋体" w:hAnsi="宋体" w:eastAsia="宋体" w:cs="宋体"/>
          <w:b/>
          <w:bCs/>
          <w:kern w:val="0"/>
          <w:sz w:val="24"/>
        </w:rPr>
        <w:t>小红书</w:t>
      </w:r>
      <w:r>
        <w:rPr>
          <w:rFonts w:hint="eastAsia" w:cs="宋体"/>
          <w:b/>
          <w:bCs/>
          <w:kern w:val="0"/>
          <w:sz w:val="24"/>
          <w:lang w:eastAsia="zh-CN"/>
        </w:rPr>
        <w:t>”</w:t>
      </w:r>
      <w:r>
        <w:rPr>
          <w:rFonts w:hint="eastAsia" w:ascii="宋体" w:hAnsi="宋体" w:eastAsia="宋体" w:cs="宋体"/>
          <w:b/>
          <w:bCs/>
          <w:kern w:val="0"/>
          <w:sz w:val="24"/>
        </w:rPr>
        <w:t>平台商家拒绝发货涉嫌违约且平台包庇不作为</w:t>
      </w:r>
    </w:p>
    <w:p w14:paraId="6DDFABC0">
      <w:pPr>
        <w:pStyle w:val="21"/>
        <w:spacing w:before="156"/>
        <w:ind w:firstLine="482"/>
        <w:jc w:val="left"/>
        <w:rPr>
          <w:rFonts w:hint="eastAsia" w:ascii="宋体" w:hAnsi="宋体" w:eastAsia="宋体" w:cs="宋体"/>
          <w:kern w:val="0"/>
          <w:sz w:val="24"/>
        </w:rPr>
      </w:pPr>
      <w:r>
        <w:rPr>
          <w:rFonts w:hint="eastAsia" w:ascii="宋体" w:hAnsi="宋体" w:eastAsia="宋体" w:cs="宋体"/>
          <w:kern w:val="0"/>
          <w:sz w:val="24"/>
          <w:lang w:val="en-US" w:eastAsia="zh-CN"/>
        </w:rPr>
        <w:t>8</w:t>
      </w:r>
      <w:r>
        <w:rPr>
          <w:rFonts w:hint="eastAsia" w:ascii="宋体" w:hAnsi="宋体" w:eastAsia="宋体" w:cs="宋体"/>
          <w:kern w:val="0"/>
          <w:sz w:val="24"/>
        </w:rPr>
        <w:t>月</w:t>
      </w:r>
      <w:r>
        <w:rPr>
          <w:rFonts w:hint="eastAsia" w:cs="宋体"/>
          <w:kern w:val="0"/>
          <w:sz w:val="24"/>
          <w:lang w:val="en-US" w:eastAsia="zh-CN"/>
        </w:rPr>
        <w:t>31</w:t>
      </w:r>
      <w:r>
        <w:rPr>
          <w:rFonts w:hint="eastAsia" w:ascii="宋体" w:hAnsi="宋体" w:eastAsia="宋体" w:cs="宋体"/>
          <w:kern w:val="0"/>
          <w:sz w:val="24"/>
        </w:rPr>
        <w:t>日，</w:t>
      </w:r>
      <w:r>
        <w:rPr>
          <w:rFonts w:hint="eastAsia" w:cs="宋体"/>
          <w:kern w:val="0"/>
          <w:sz w:val="24"/>
          <w:lang w:val="en-US" w:eastAsia="zh-CN"/>
        </w:rPr>
        <w:t>湖北</w:t>
      </w:r>
      <w:r>
        <w:rPr>
          <w:rFonts w:hint="eastAsia" w:ascii="宋体" w:hAnsi="宋体" w:eastAsia="宋体" w:cs="宋体"/>
          <w:kern w:val="0"/>
          <w:sz w:val="24"/>
        </w:rPr>
        <w:t>省的</w:t>
      </w:r>
      <w:r>
        <w:rPr>
          <w:rFonts w:hint="eastAsia" w:cs="宋体"/>
          <w:kern w:val="0"/>
          <w:sz w:val="24"/>
          <w:lang w:val="en-US" w:eastAsia="zh-CN"/>
        </w:rPr>
        <w:t>张</w:t>
      </w:r>
      <w:r>
        <w:rPr>
          <w:rFonts w:hint="eastAsia" w:ascii="宋体" w:hAnsi="宋体" w:eastAsia="宋体" w:cs="宋体"/>
          <w:kern w:val="0"/>
          <w:sz w:val="24"/>
          <w:lang w:val="en-US" w:eastAsia="zh-CN"/>
        </w:rPr>
        <w:t>先生</w:t>
      </w:r>
      <w:r>
        <w:rPr>
          <w:rFonts w:hint="eastAsia" w:ascii="宋体" w:hAnsi="宋体" w:eastAsia="宋体" w:cs="宋体"/>
          <w:kern w:val="0"/>
          <w:sz w:val="24"/>
        </w:rPr>
        <w:t>向电诉宝投诉称</w:t>
      </w:r>
      <w:r>
        <w:rPr>
          <w:rFonts w:hint="eastAsia" w:cs="宋体"/>
          <w:kern w:val="0"/>
          <w:sz w:val="24"/>
          <w:lang w:val="en-US" w:eastAsia="zh-CN"/>
        </w:rPr>
        <w:t>其于</w:t>
      </w:r>
      <w:r>
        <w:rPr>
          <w:rFonts w:hint="eastAsia" w:ascii="宋体" w:hAnsi="宋体" w:eastAsia="宋体" w:cs="宋体"/>
          <w:kern w:val="0"/>
          <w:sz w:val="24"/>
        </w:rPr>
        <w:t>8月26日在小红书平台购买价值700元的商品，但商家拒不发货且拒绝承担责任，平台亦要求用户取消订单并拒绝赔偿。</w:t>
      </w:r>
    </w:p>
    <w:p w14:paraId="356EF64A">
      <w:pPr>
        <w:pStyle w:val="21"/>
        <w:spacing w:before="156"/>
        <w:ind w:firstLine="482"/>
        <w:jc w:val="left"/>
        <w:rPr>
          <w:rFonts w:hint="eastAsia" w:ascii="宋体" w:hAnsi="宋体" w:eastAsia="宋体" w:cs="宋体"/>
          <w:kern w:val="0"/>
          <w:sz w:val="24"/>
        </w:rPr>
      </w:pPr>
      <w:r>
        <w:rPr>
          <w:rFonts w:hint="eastAsia" w:ascii="宋体" w:hAnsi="宋体" w:eastAsia="宋体" w:cs="宋体"/>
          <w:kern w:val="0"/>
          <w:sz w:val="24"/>
        </w:rPr>
        <w:t>用户指出商家行为违反《消费者权益保护法》及《民法典》第577条关于违约责任的规定，强调即使价格标错商家也需履行合同或赔偿，虚假发货更应承担三倍赔偿。用户表示商品价格经双方确认且非重大金额，消费者不应承担商家失误后果，并揭露商家此前宣称"不退不换"现又强制退款，属于霸王条款。用户要求小红书平台及商家履行原订单发货义务，并赔偿其时间、精力及心理损失</w:t>
      </w:r>
    </w:p>
    <w:p w14:paraId="096E7216">
      <w:pPr>
        <w:pStyle w:val="21"/>
        <w:spacing w:before="156"/>
        <w:ind w:firstLine="482"/>
        <w:jc w:val="left"/>
        <w:rPr>
          <w:rFonts w:hint="default" w:eastAsia="宋体"/>
          <w:b/>
          <w:bCs/>
          <w:lang w:val="en-US" w:eastAsia="zh-CN"/>
        </w:rPr>
      </w:pPr>
      <w:r>
        <w:rPr>
          <w:b/>
          <w:bCs/>
        </w:rPr>
        <w:t>【案例八】快手</w:t>
      </w:r>
      <w:r>
        <w:rPr>
          <w:rFonts w:hint="eastAsia"/>
          <w:b/>
          <w:bCs/>
          <w:lang w:val="en-US" w:eastAsia="zh-CN"/>
        </w:rPr>
        <w:t>平台商家被指销售缺陷商品致伤且拒不赔偿</w:t>
      </w:r>
    </w:p>
    <w:p w14:paraId="225EE82A">
      <w:pPr>
        <w:widowControl/>
        <w:spacing w:before="100" w:beforeAutospacing="1" w:after="100" w:afterAutospacing="1" w:line="360" w:lineRule="auto"/>
        <w:ind w:firstLine="480"/>
        <w:jc w:val="left"/>
        <w:rPr>
          <w:rFonts w:hint="eastAsia" w:ascii="宋体" w:hAnsi="宋体" w:eastAsia="宋体" w:cs="宋体"/>
          <w:kern w:val="0"/>
          <w:sz w:val="24"/>
        </w:rPr>
      </w:pPr>
      <w:r>
        <w:rPr>
          <w:rFonts w:hint="eastAsia" w:ascii="宋体" w:hAnsi="宋体" w:eastAsia="宋体" w:cs="宋体"/>
          <w:kern w:val="0"/>
          <w:sz w:val="24"/>
          <w:lang w:val="en-US" w:eastAsia="zh-CN"/>
        </w:rPr>
        <w:t>8</w:t>
      </w:r>
      <w:r>
        <w:rPr>
          <w:rFonts w:hint="eastAsia" w:ascii="宋体" w:hAnsi="宋体" w:eastAsia="宋体" w:cs="宋体"/>
          <w:kern w:val="0"/>
          <w:sz w:val="24"/>
        </w:rPr>
        <w:t>月</w:t>
      </w:r>
      <w:r>
        <w:rPr>
          <w:rFonts w:hint="eastAsia" w:ascii="宋体" w:hAnsi="宋体" w:eastAsia="宋体" w:cs="宋体"/>
          <w:kern w:val="0"/>
          <w:sz w:val="24"/>
          <w:lang w:val="en-US" w:eastAsia="zh-CN"/>
        </w:rPr>
        <w:t>18</w:t>
      </w:r>
      <w:r>
        <w:rPr>
          <w:rFonts w:hint="eastAsia" w:ascii="宋体" w:hAnsi="宋体" w:eastAsia="宋体" w:cs="宋体"/>
          <w:kern w:val="0"/>
          <w:sz w:val="24"/>
        </w:rPr>
        <w:t>日，</w:t>
      </w:r>
      <w:r>
        <w:rPr>
          <w:rFonts w:hint="eastAsia" w:ascii="宋体" w:hAnsi="宋体" w:eastAsia="宋体" w:cs="宋体"/>
          <w:kern w:val="0"/>
          <w:sz w:val="24"/>
          <w:lang w:val="en-US" w:eastAsia="zh-CN"/>
        </w:rPr>
        <w:t>江苏</w:t>
      </w:r>
      <w:r>
        <w:rPr>
          <w:rFonts w:hint="eastAsia" w:ascii="宋体" w:hAnsi="宋体" w:eastAsia="宋体" w:cs="宋体"/>
          <w:kern w:val="0"/>
          <w:sz w:val="24"/>
        </w:rPr>
        <w:t>省的</w:t>
      </w:r>
      <w:r>
        <w:rPr>
          <w:rFonts w:ascii="宋体" w:hAnsi="宋体" w:eastAsia="宋体" w:cs="宋体"/>
          <w:kern w:val="0"/>
          <w:sz w:val="24"/>
        </w:rPr>
        <w:t>张</w:t>
      </w:r>
      <w:r>
        <w:rPr>
          <w:rFonts w:hint="eastAsia" w:ascii="宋体" w:hAnsi="宋体" w:eastAsia="宋体" w:cs="宋体"/>
          <w:kern w:val="0"/>
          <w:sz w:val="24"/>
          <w:lang w:val="en-US" w:eastAsia="zh-CN"/>
        </w:rPr>
        <w:t>女士</w:t>
      </w:r>
      <w:r>
        <w:rPr>
          <w:rFonts w:hint="eastAsia" w:ascii="宋体" w:hAnsi="宋体" w:eastAsia="宋体" w:cs="宋体"/>
          <w:kern w:val="0"/>
          <w:sz w:val="24"/>
        </w:rPr>
        <w:t>向电诉宝投诉称其</w:t>
      </w:r>
      <w:r>
        <w:rPr>
          <w:rFonts w:hint="eastAsia" w:ascii="宋体" w:hAnsi="宋体" w:eastAsia="宋体" w:cs="宋体"/>
          <w:kern w:val="0"/>
          <w:sz w:val="24"/>
          <w:lang w:val="en-US" w:eastAsia="zh-CN"/>
        </w:rPr>
        <w:t>于</w:t>
      </w:r>
      <w:r>
        <w:rPr>
          <w:rFonts w:hint="eastAsia" w:ascii="宋体" w:hAnsi="宋体" w:eastAsia="宋体" w:cs="宋体"/>
          <w:kern w:val="0"/>
          <w:sz w:val="24"/>
        </w:rPr>
        <w:t>7月在快手直播间购买"小主无湿轻"产品，开瓶时瓶体突然爆裂导致手心割伤。商家虽承认商品质量问题致伤，却以"超过48小时"为由拒绝承担退货退款及医疗赔偿责任。</w:t>
      </w:r>
    </w:p>
    <w:p w14:paraId="50A12725">
      <w:pPr>
        <w:widowControl/>
        <w:spacing w:before="100" w:beforeAutospacing="1" w:after="100" w:afterAutospacing="1" w:line="360" w:lineRule="auto"/>
        <w:ind w:firstLine="480"/>
        <w:jc w:val="left"/>
        <w:rPr>
          <w:rFonts w:ascii="宋体" w:hAnsi="宋体" w:eastAsia="宋体" w:cs="宋体"/>
          <w:kern w:val="0"/>
          <w:sz w:val="24"/>
        </w:rPr>
      </w:pPr>
      <w:r>
        <w:rPr>
          <w:rFonts w:hint="eastAsia" w:ascii="宋体" w:hAnsi="宋体" w:eastAsia="宋体" w:cs="宋体"/>
          <w:kern w:val="0"/>
          <w:sz w:val="24"/>
        </w:rPr>
        <w:t>平台与商家相互推诿，均未处理此事。用户要求依据《消费者权益保护法》退还商品价款并赔偿实际医疗费用，合计524.57元，并呼吁平台切实履行监管责任。</w:t>
      </w:r>
    </w:p>
    <w:p w14:paraId="4DCBEF9D">
      <w:pPr>
        <w:pStyle w:val="21"/>
        <w:spacing w:before="156"/>
        <w:ind w:firstLine="482"/>
        <w:jc w:val="left"/>
        <w:rPr>
          <w:rFonts w:hint="default"/>
          <w:b/>
          <w:bCs/>
        </w:rPr>
      </w:pPr>
      <w:r>
        <w:rPr>
          <w:b/>
          <w:bCs/>
        </w:rPr>
        <w:t>【案例九】</w:t>
      </w:r>
      <w:r>
        <w:rPr>
          <w:rFonts w:hint="eastAsia"/>
          <w:b/>
          <w:bCs/>
        </w:rPr>
        <w:t>闲鱼</w:t>
      </w:r>
      <w:r>
        <w:rPr>
          <w:rFonts w:hint="eastAsia"/>
          <w:b/>
          <w:bCs/>
          <w:lang w:val="en-US" w:eastAsia="zh-CN"/>
        </w:rPr>
        <w:t>平台被指</w:t>
      </w:r>
      <w:r>
        <w:rPr>
          <w:rFonts w:hint="eastAsia"/>
          <w:b/>
          <w:bCs/>
        </w:rPr>
        <w:t>验货宝服务不公且拖延返还商品</w:t>
      </w:r>
    </w:p>
    <w:p w14:paraId="75918966">
      <w:pPr>
        <w:widowControl/>
        <w:spacing w:before="100" w:beforeAutospacing="1" w:after="100" w:afterAutospacing="1" w:line="360" w:lineRule="auto"/>
        <w:ind w:firstLine="480"/>
        <w:jc w:val="left"/>
        <w:rPr>
          <w:rFonts w:hint="eastAsia" w:ascii="宋体" w:hAnsi="宋体" w:eastAsia="宋体" w:cs="宋体"/>
          <w:kern w:val="0"/>
          <w:sz w:val="24"/>
        </w:rPr>
      </w:pPr>
      <w:r>
        <w:rPr>
          <w:rFonts w:hint="eastAsia" w:ascii="宋体" w:hAnsi="宋体" w:eastAsia="宋体" w:cs="宋体"/>
          <w:kern w:val="0"/>
          <w:sz w:val="24"/>
          <w:lang w:val="en-US" w:eastAsia="zh-CN"/>
        </w:rPr>
        <w:t>8</w:t>
      </w:r>
      <w:r>
        <w:rPr>
          <w:rFonts w:hint="eastAsia" w:ascii="宋体" w:hAnsi="宋体" w:eastAsia="宋体" w:cs="宋体"/>
          <w:kern w:val="0"/>
          <w:sz w:val="24"/>
        </w:rPr>
        <w:t>月</w:t>
      </w:r>
      <w:r>
        <w:rPr>
          <w:rFonts w:ascii="宋体" w:hAnsi="宋体" w:eastAsia="宋体" w:cs="宋体"/>
          <w:kern w:val="0"/>
          <w:sz w:val="24"/>
        </w:rPr>
        <w:t>3</w:t>
      </w:r>
      <w:r>
        <w:rPr>
          <w:rFonts w:hint="eastAsia" w:ascii="宋体" w:hAnsi="宋体" w:eastAsia="宋体" w:cs="宋体"/>
          <w:kern w:val="0"/>
          <w:sz w:val="24"/>
        </w:rPr>
        <w:t>日，</w:t>
      </w:r>
      <w:r>
        <w:rPr>
          <w:rFonts w:hint="eastAsia" w:ascii="宋体" w:hAnsi="宋体" w:eastAsia="宋体" w:cs="宋体"/>
          <w:kern w:val="0"/>
          <w:sz w:val="24"/>
          <w:lang w:val="en-US" w:eastAsia="zh-CN"/>
        </w:rPr>
        <w:t>广东</w:t>
      </w:r>
      <w:r>
        <w:rPr>
          <w:rFonts w:hint="eastAsia" w:ascii="宋体" w:hAnsi="宋体" w:eastAsia="宋体" w:cs="宋体"/>
          <w:kern w:val="0"/>
          <w:sz w:val="24"/>
        </w:rPr>
        <w:t>省的</w:t>
      </w:r>
      <w:r>
        <w:rPr>
          <w:rFonts w:hint="eastAsia" w:ascii="宋体" w:hAnsi="宋体" w:eastAsia="宋体" w:cs="宋体"/>
          <w:kern w:val="0"/>
          <w:sz w:val="24"/>
          <w:lang w:val="en-US" w:eastAsia="zh-CN"/>
        </w:rPr>
        <w:t>陈</w:t>
      </w:r>
      <w:r>
        <w:rPr>
          <w:rFonts w:ascii="宋体" w:hAnsi="宋体" w:eastAsia="宋体" w:cs="宋体"/>
          <w:kern w:val="0"/>
          <w:sz w:val="24"/>
        </w:rPr>
        <w:t>先生</w:t>
      </w:r>
      <w:r>
        <w:rPr>
          <w:rFonts w:hint="eastAsia" w:ascii="宋体" w:hAnsi="宋体" w:eastAsia="宋体" w:cs="宋体"/>
          <w:kern w:val="0"/>
          <w:sz w:val="24"/>
        </w:rPr>
        <w:t>向电诉宝投诉称其7月21日在闲鱼平台出售二手笔记本电脑时使用验货宝服务，寄出前电脑功能正常、外观无显著瑕疵。但验货报告指出存在"螺丝偏移"及使用痕迹（报告明确描述为"正常情况"），买家据此取消订单。用户强调电脑机型、配置与描述完全一致，质疑所谓"瑕疵"属二手商品常态且可能为验机过程中造成，但闲鱼平台仍判定"货不对版"。</w:t>
      </w:r>
    </w:p>
    <w:p w14:paraId="51AB12C2">
      <w:pPr>
        <w:widowControl/>
        <w:spacing w:before="100" w:beforeAutospacing="1" w:after="100" w:afterAutospacing="1" w:line="360" w:lineRule="auto"/>
        <w:ind w:firstLine="480"/>
        <w:jc w:val="left"/>
        <w:rPr>
          <w:rFonts w:ascii="宋体" w:hAnsi="宋体" w:eastAsia="宋体" w:cs="宋体"/>
          <w:kern w:val="0"/>
          <w:sz w:val="24"/>
        </w:rPr>
      </w:pPr>
      <w:r>
        <w:rPr>
          <w:rFonts w:hint="eastAsia" w:ascii="宋体" w:hAnsi="宋体" w:eastAsia="宋体" w:cs="宋体"/>
          <w:kern w:val="0"/>
          <w:sz w:val="24"/>
        </w:rPr>
        <w:t>用户指控验货宝服务逻辑矛盾（承认痕迹正常却支持退款）、风险转嫁卖家，且自7月21日验机至8月3日逾半个月未归还电脑，涉嫌恶意侵占私人财产，要求平台公正处理并立即返还商品</w:t>
      </w:r>
    </w:p>
    <w:p w14:paraId="5AB4EB2A">
      <w:pPr>
        <w:pStyle w:val="21"/>
        <w:spacing w:before="156"/>
        <w:ind w:firstLine="482"/>
        <w:jc w:val="left"/>
        <w:rPr>
          <w:rFonts w:hint="default"/>
          <w:b/>
          <w:bCs/>
        </w:rPr>
      </w:pPr>
      <w:r>
        <w:rPr>
          <w:b/>
          <w:bCs/>
        </w:rPr>
        <w:t>【案例十】</w:t>
      </w:r>
      <w:r>
        <w:rPr>
          <w:rFonts w:hint="eastAsia"/>
          <w:b/>
          <w:bCs/>
          <w:lang w:eastAsia="zh-CN"/>
        </w:rPr>
        <w:t>“</w:t>
      </w:r>
      <w:r>
        <w:rPr>
          <w:rFonts w:hint="eastAsia"/>
          <w:b/>
          <w:bCs/>
          <w:lang w:val="en-US" w:eastAsia="zh-CN"/>
        </w:rPr>
        <w:t>京东</w:t>
      </w:r>
      <w:r>
        <w:rPr>
          <w:rFonts w:hint="eastAsia"/>
          <w:b/>
          <w:bCs/>
          <w:lang w:eastAsia="zh-CN"/>
        </w:rPr>
        <w:t>”</w:t>
      </w:r>
      <w:r>
        <w:rPr>
          <w:rFonts w:hint="eastAsia"/>
          <w:b/>
          <w:bCs/>
          <w:lang w:val="en-US" w:eastAsia="zh-CN"/>
        </w:rPr>
        <w:t>某商家耳机</w:t>
      </w:r>
      <w:r>
        <w:rPr>
          <w:rFonts w:hint="eastAsia"/>
          <w:b/>
          <w:bCs/>
        </w:rPr>
        <w:t>存质量缺陷且售后政策不合理</w:t>
      </w:r>
    </w:p>
    <w:p w14:paraId="44E27867">
      <w:pPr>
        <w:widowControl/>
        <w:spacing w:before="100" w:beforeAutospacing="1" w:after="100" w:afterAutospacing="1" w:line="360" w:lineRule="auto"/>
        <w:ind w:firstLine="480"/>
        <w:jc w:val="left"/>
        <w:rPr>
          <w:rFonts w:hint="eastAsia" w:ascii="宋体" w:hAnsi="宋体" w:eastAsia="宋体" w:cs="宋体"/>
          <w:kern w:val="0"/>
          <w:sz w:val="24"/>
        </w:rPr>
      </w:pPr>
      <w:r>
        <w:rPr>
          <w:rFonts w:hint="eastAsia" w:ascii="宋体" w:hAnsi="宋体" w:eastAsia="宋体" w:cs="宋体"/>
          <w:kern w:val="0"/>
          <w:sz w:val="24"/>
          <w:lang w:val="en-US" w:eastAsia="zh-CN"/>
        </w:rPr>
        <w:t>8</w:t>
      </w:r>
      <w:r>
        <w:rPr>
          <w:rFonts w:hint="eastAsia" w:ascii="宋体" w:hAnsi="宋体" w:eastAsia="宋体" w:cs="宋体"/>
          <w:kern w:val="0"/>
          <w:sz w:val="24"/>
        </w:rPr>
        <w:t>月</w:t>
      </w:r>
      <w:r>
        <w:rPr>
          <w:rFonts w:hint="eastAsia" w:ascii="宋体" w:hAnsi="宋体" w:eastAsia="宋体" w:cs="宋体"/>
          <w:kern w:val="0"/>
          <w:sz w:val="24"/>
          <w:lang w:val="en-US" w:eastAsia="zh-CN"/>
        </w:rPr>
        <w:t>25</w:t>
      </w:r>
      <w:r>
        <w:rPr>
          <w:rFonts w:hint="eastAsia" w:ascii="宋体" w:hAnsi="宋体" w:eastAsia="宋体" w:cs="宋体"/>
          <w:kern w:val="0"/>
          <w:sz w:val="24"/>
        </w:rPr>
        <w:t>日，</w:t>
      </w:r>
      <w:r>
        <w:rPr>
          <w:rFonts w:hint="eastAsia" w:ascii="宋体" w:hAnsi="宋体" w:eastAsia="宋体" w:cs="宋体"/>
          <w:kern w:val="0"/>
          <w:sz w:val="24"/>
          <w:lang w:val="en-US" w:eastAsia="zh-CN"/>
        </w:rPr>
        <w:t>湖北</w:t>
      </w:r>
      <w:r>
        <w:rPr>
          <w:rFonts w:hint="eastAsia" w:ascii="宋体" w:hAnsi="宋体" w:eastAsia="宋体" w:cs="宋体"/>
          <w:kern w:val="0"/>
          <w:sz w:val="24"/>
        </w:rPr>
        <w:t>省的</w:t>
      </w:r>
      <w:r>
        <w:rPr>
          <w:rFonts w:hint="eastAsia" w:ascii="宋体" w:hAnsi="宋体" w:eastAsia="宋体" w:cs="宋体"/>
          <w:kern w:val="0"/>
          <w:sz w:val="24"/>
          <w:lang w:val="en-US" w:eastAsia="zh-CN"/>
        </w:rPr>
        <w:t>吴</w:t>
      </w:r>
      <w:r>
        <w:rPr>
          <w:rFonts w:ascii="宋体" w:hAnsi="宋体" w:eastAsia="宋体" w:cs="宋体"/>
          <w:kern w:val="0"/>
          <w:sz w:val="24"/>
        </w:rPr>
        <w:t>先生</w:t>
      </w:r>
      <w:r>
        <w:rPr>
          <w:rFonts w:hint="eastAsia" w:ascii="宋体" w:hAnsi="宋体" w:eastAsia="宋体" w:cs="宋体"/>
          <w:kern w:val="0"/>
          <w:sz w:val="24"/>
        </w:rPr>
        <w:t>向电诉宝投诉称5月1日在京东“</w:t>
      </w:r>
      <w:r>
        <w:rPr>
          <w:rFonts w:hint="eastAsia" w:ascii="宋体" w:hAnsi="宋体" w:eastAsia="宋体" w:cs="宋体"/>
          <w:kern w:val="0"/>
          <w:sz w:val="24"/>
          <w:lang w:val="en-US" w:eastAsia="zh-CN"/>
        </w:rPr>
        <w:t>某</w:t>
      </w:r>
      <w:r>
        <w:rPr>
          <w:rFonts w:hint="eastAsia" w:ascii="宋体" w:hAnsi="宋体" w:eastAsia="宋体" w:cs="宋体"/>
          <w:kern w:val="0"/>
          <w:sz w:val="24"/>
        </w:rPr>
        <w:t>官方旗舰店”购买OpenRun Pro骨传导耳机，2024年7月3日出现单边响故障，付费300元换新后仅获3个月质保。8月新机再次出现相同故障，用户查询发现该型号振子失效为普遍质量问题，质疑品牌品控缺陷。</w:t>
      </w:r>
    </w:p>
    <w:p w14:paraId="61C58339">
      <w:pPr>
        <w:widowControl/>
        <w:spacing w:before="100" w:beforeAutospacing="1" w:after="100" w:afterAutospacing="1" w:line="360" w:lineRule="auto"/>
        <w:ind w:firstLine="480"/>
        <w:jc w:val="left"/>
        <w:rPr>
          <w:rFonts w:ascii="宋体" w:hAnsi="宋体" w:eastAsia="宋体" w:cs="宋体"/>
          <w:kern w:val="0"/>
          <w:sz w:val="24"/>
        </w:rPr>
      </w:pPr>
      <w:r>
        <w:rPr>
          <w:rFonts w:hint="eastAsia" w:ascii="宋体" w:hAnsi="宋体" w:eastAsia="宋体" w:cs="宋体"/>
          <w:kern w:val="0"/>
          <w:sz w:val="24"/>
        </w:rPr>
        <w:t>韶音售后以政策为由拒绝免费维修，用户要求品牌正视产品缺陷并承担相应责任。</w:t>
      </w:r>
    </w:p>
    <w:p w14:paraId="2A925D80">
      <w:pPr>
        <w:pStyle w:val="20"/>
        <w:spacing w:line="360" w:lineRule="auto"/>
        <w:jc w:val="left"/>
        <w:rPr>
          <w:rFonts w:hint="default"/>
        </w:rPr>
      </w:pPr>
      <w:bookmarkStart w:id="17" w:name="_Toc18521"/>
      <w:r>
        <w:t>（二）生活服务电商数据与十大典型案例</w:t>
      </w:r>
      <w:bookmarkEnd w:id="17"/>
    </w:p>
    <w:p w14:paraId="4C19C726">
      <w:pPr>
        <w:pStyle w:val="21"/>
        <w:spacing w:before="156"/>
        <w:ind w:firstLine="562"/>
        <w:jc w:val="left"/>
        <w:rPr>
          <w:rFonts w:hint="default"/>
          <w:b/>
          <w:bCs/>
          <w:sz w:val="28"/>
          <w:szCs w:val="28"/>
        </w:rPr>
      </w:pPr>
      <w:r>
        <w:rPr>
          <w:b/>
          <w:bCs/>
          <w:sz w:val="28"/>
          <w:szCs w:val="28"/>
        </w:rPr>
        <w:t>生活服务电商消费评级榜</w:t>
      </w:r>
    </w:p>
    <w:p w14:paraId="0C6F211A">
      <w:pPr>
        <w:pStyle w:val="21"/>
        <w:spacing w:before="156"/>
        <w:jc w:val="left"/>
        <w:rPr>
          <w:rFonts w:hint="default"/>
        </w:rPr>
      </w:pPr>
      <w:r>
        <w:t>在</w:t>
      </w:r>
      <w:r>
        <w:rPr>
          <w:rFonts w:hint="eastAsia"/>
          <w:lang w:eastAsia="zh-CN"/>
        </w:rPr>
        <w:t>8月</w:t>
      </w:r>
      <w:r>
        <w:t>全国生活服务电商评级榜中：获</w:t>
      </w:r>
      <w:r>
        <w:rPr>
          <w:b/>
          <w:bCs/>
        </w:rPr>
        <w:t>“建议下单”</w:t>
      </w:r>
      <w:r>
        <w:t>的有：美团共1家；获</w:t>
      </w:r>
      <w:r>
        <w:rPr>
          <w:b/>
          <w:bCs/>
        </w:rPr>
        <w:t>“谨慎下单”</w:t>
      </w:r>
      <w:r>
        <w:t>评级的有：去哪儿、万师傅、</w:t>
      </w:r>
      <w:r>
        <w:rPr>
          <w:rFonts w:hint="eastAsia"/>
          <w:lang w:val="en-US" w:eastAsia="zh-CN"/>
        </w:rPr>
        <w:t>携程、</w:t>
      </w:r>
      <w:r>
        <w:t>智行共</w:t>
      </w:r>
      <w:r>
        <w:rPr>
          <w:rFonts w:hint="eastAsia"/>
          <w:lang w:val="en-US" w:eastAsia="zh-CN"/>
        </w:rPr>
        <w:t>4</w:t>
      </w:r>
      <w:r>
        <w:t>家；获“</w:t>
      </w:r>
      <w:r>
        <w:rPr>
          <w:b/>
          <w:bCs/>
        </w:rPr>
        <w:t>不建议下单</w:t>
      </w:r>
      <w:r>
        <w:t>”的有飞猪、走着瞧旅行共</w:t>
      </w:r>
      <w:r>
        <w:rPr>
          <w:rFonts w:hint="default"/>
        </w:rPr>
        <w:t>2</w:t>
      </w:r>
      <w:r>
        <w:t>家。</w:t>
      </w:r>
    </w:p>
    <w:p w14:paraId="47148157">
      <w:pPr>
        <w:spacing w:line="360" w:lineRule="auto"/>
        <w:jc w:val="left"/>
      </w:pPr>
      <w:r>
        <w:drawing>
          <wp:inline distT="0" distB="0" distL="0" distR="0">
            <wp:extent cx="5274310" cy="3571240"/>
            <wp:effectExtent l="0" t="0" r="2540" b="10160"/>
            <wp:docPr id="2" name="图片 2" descr="C:/Users/Administrator/Desktop/4.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4.png4"/>
                    <pic:cNvPicPr>
                      <a:picLocks noChangeAspect="1" noChangeArrowheads="1"/>
                    </pic:cNvPicPr>
                  </pic:nvPicPr>
                  <pic:blipFill>
                    <a:blip r:embed="rId15"/>
                    <a:srcRect t="2865" b="2865"/>
                    <a:stretch>
                      <a:fillRect/>
                    </a:stretch>
                  </pic:blipFill>
                  <pic:spPr>
                    <a:xfrm>
                      <a:off x="0" y="0"/>
                      <a:ext cx="5274310" cy="3571240"/>
                    </a:xfrm>
                    <a:prstGeom prst="rect">
                      <a:avLst/>
                    </a:prstGeom>
                    <a:noFill/>
                    <a:ln>
                      <a:noFill/>
                    </a:ln>
                  </pic:spPr>
                </pic:pic>
              </a:graphicData>
            </a:graphic>
          </wp:inline>
        </w:drawing>
      </w:r>
    </w:p>
    <w:p w14:paraId="111BE215">
      <w:pPr>
        <w:pStyle w:val="21"/>
        <w:spacing w:before="156"/>
        <w:ind w:firstLine="562"/>
        <w:jc w:val="left"/>
        <w:rPr>
          <w:rFonts w:hint="default"/>
          <w:b/>
          <w:bCs/>
          <w:sz w:val="28"/>
          <w:szCs w:val="28"/>
        </w:rPr>
      </w:pPr>
      <w:r>
        <w:rPr>
          <w:b/>
          <w:bCs/>
          <w:sz w:val="28"/>
          <w:szCs w:val="28"/>
        </w:rPr>
        <w:t>生活服务电商上榜平台有</w:t>
      </w:r>
      <w:r>
        <w:rPr>
          <w:rFonts w:hint="default"/>
          <w:b/>
          <w:bCs/>
          <w:sz w:val="28"/>
          <w:szCs w:val="28"/>
        </w:rPr>
        <w:t>1</w:t>
      </w:r>
      <w:r>
        <w:rPr>
          <w:rFonts w:hint="eastAsia"/>
          <w:b/>
          <w:bCs/>
          <w:sz w:val="28"/>
          <w:szCs w:val="28"/>
          <w:lang w:val="en-US" w:eastAsia="zh-CN"/>
        </w:rPr>
        <w:t>6</w:t>
      </w:r>
      <w:r>
        <w:rPr>
          <w:b/>
          <w:bCs/>
          <w:sz w:val="28"/>
          <w:szCs w:val="28"/>
        </w:rPr>
        <w:t>家：</w:t>
      </w:r>
    </w:p>
    <w:p w14:paraId="4B538F8B">
      <w:pPr>
        <w:spacing w:before="156" w:beforeLines="50" w:line="360" w:lineRule="auto"/>
        <w:ind w:firstLine="480" w:firstLineChars="200"/>
        <w:jc w:val="left"/>
        <w:rPr>
          <w:rFonts w:asciiTheme="minorEastAsia" w:hAnsiTheme="minorEastAsia" w:cstheme="minorEastAsia"/>
          <w:bCs/>
          <w:color w:val="000000" w:themeColor="text1"/>
          <w:sz w:val="24"/>
          <w14:textFill>
            <w14:solidFill>
              <w14:schemeClr w14:val="tx1"/>
            </w14:solidFill>
          </w14:textFill>
        </w:rPr>
      </w:pPr>
      <w:r>
        <w:rPr>
          <w:rFonts w:hint="eastAsia" w:asciiTheme="minorEastAsia" w:hAnsiTheme="minorEastAsia" w:cstheme="minorEastAsia"/>
          <w:bCs/>
          <w:color w:val="000000" w:themeColor="text1"/>
          <w:sz w:val="24"/>
          <w14:textFill>
            <w14:solidFill>
              <w14:schemeClr w14:val="tx1"/>
            </w14:solidFill>
          </w14:textFill>
        </w:rPr>
        <w:t>投诉量</w:t>
      </w:r>
      <w:r>
        <w:rPr>
          <w:rFonts w:hint="eastAsia" w:asciiTheme="minorEastAsia" w:hAnsiTheme="minorEastAsia" w:cstheme="minorEastAsia"/>
          <w:b/>
          <w:color w:val="000000" w:themeColor="text1"/>
          <w:sz w:val="24"/>
          <w14:textFill>
            <w14:solidFill>
              <w14:schemeClr w14:val="tx1"/>
            </w14:solidFill>
          </w14:textFill>
        </w:rPr>
        <w:t>TOP10</w:t>
      </w:r>
      <w:r>
        <w:rPr>
          <w:rFonts w:hint="eastAsia" w:asciiTheme="minorEastAsia" w:hAnsiTheme="minorEastAsia" w:cstheme="minorEastAsia"/>
          <w:bCs/>
          <w:color w:val="000000" w:themeColor="text1"/>
          <w:sz w:val="24"/>
          <w14:textFill>
            <w14:solidFill>
              <w14:schemeClr w14:val="tx1"/>
            </w14:solidFill>
          </w14:textFill>
        </w:rPr>
        <w:t>依次为：美团、万师傅、去哪儿</w:t>
      </w:r>
      <w:r>
        <w:rPr>
          <w:rFonts w:hint="eastAsia" w:asciiTheme="minorEastAsia" w:hAnsiTheme="minorEastAsia" w:cstheme="minorEastAsia"/>
          <w:bCs/>
          <w:color w:val="000000" w:themeColor="text1"/>
          <w:sz w:val="24"/>
          <w:lang w:eastAsia="zh-CN"/>
          <w14:textFill>
            <w14:solidFill>
              <w14:schemeClr w14:val="tx1"/>
            </w14:solidFill>
          </w14:textFill>
        </w:rPr>
        <w:t>、</w:t>
      </w:r>
      <w:r>
        <w:rPr>
          <w:rFonts w:hint="eastAsia" w:asciiTheme="minorEastAsia" w:hAnsiTheme="minorEastAsia" w:cstheme="minorEastAsia"/>
          <w:bCs/>
          <w:color w:val="000000" w:themeColor="text1"/>
          <w:sz w:val="24"/>
          <w14:textFill>
            <w14:solidFill>
              <w14:schemeClr w14:val="tx1"/>
            </w14:solidFill>
          </w14:textFill>
        </w:rPr>
        <w:t>飞猪、智行、携程、走着瞧旅行、</w:t>
      </w:r>
      <w:r>
        <w:rPr>
          <w:rFonts w:hint="eastAsia" w:asciiTheme="minorEastAsia" w:hAnsiTheme="minorEastAsia" w:cstheme="minorEastAsia"/>
          <w:bCs/>
          <w:color w:val="000000" w:themeColor="text1"/>
          <w:sz w:val="24"/>
          <w:lang w:val="en-US" w:eastAsia="zh-CN"/>
          <w14:textFill>
            <w14:solidFill>
              <w14:schemeClr w14:val="tx1"/>
            </w14:solidFill>
          </w14:textFill>
        </w:rPr>
        <w:t>饿了么、</w:t>
      </w:r>
      <w:r>
        <w:rPr>
          <w:rFonts w:hint="eastAsia" w:asciiTheme="minorEastAsia" w:hAnsiTheme="minorEastAsia" w:cstheme="minorEastAsia"/>
          <w:bCs/>
          <w:color w:val="000000" w:themeColor="text1"/>
          <w:sz w:val="24"/>
          <w14:textFill>
            <w14:solidFill>
              <w14:schemeClr w14:val="tx1"/>
            </w14:solidFill>
          </w14:textFill>
        </w:rPr>
        <w:t>大麦网、鲁班到家；</w:t>
      </w:r>
    </w:p>
    <w:p w14:paraId="52FC43FE">
      <w:pPr>
        <w:spacing w:before="156" w:beforeLines="50" w:line="360" w:lineRule="auto"/>
        <w:ind w:firstLine="480" w:firstLineChars="200"/>
        <w:jc w:val="left"/>
        <w:rPr>
          <w:rFonts w:hint="default" w:asciiTheme="minorEastAsia" w:hAnsiTheme="minorEastAsia" w:cstheme="minorEastAsia"/>
          <w:bCs/>
          <w:color w:val="000000" w:themeColor="text1"/>
          <w:sz w:val="24"/>
          <w:lang w:val="en-US"/>
          <w14:textFill>
            <w14:solidFill>
              <w14:schemeClr w14:val="tx1"/>
            </w14:solidFill>
          </w14:textFill>
        </w:rPr>
      </w:pPr>
      <w:r>
        <w:rPr>
          <w:rFonts w:hint="eastAsia" w:asciiTheme="minorEastAsia" w:hAnsiTheme="minorEastAsia" w:cstheme="minorEastAsia"/>
          <w:bCs/>
          <w:color w:val="000000" w:themeColor="text1"/>
          <w:sz w:val="24"/>
          <w14:textFill>
            <w14:solidFill>
              <w14:schemeClr w14:val="tx1"/>
            </w14:solidFill>
          </w14:textFill>
        </w:rPr>
        <w:t>排在</w:t>
      </w:r>
      <w:r>
        <w:rPr>
          <w:rFonts w:hint="eastAsia" w:asciiTheme="minorEastAsia" w:hAnsiTheme="minorEastAsia" w:cstheme="minorEastAsia"/>
          <w:b/>
          <w:color w:val="000000" w:themeColor="text1"/>
          <w:sz w:val="24"/>
          <w14:textFill>
            <w14:solidFill>
              <w14:schemeClr w14:val="tx1"/>
            </w14:solidFill>
          </w14:textFill>
        </w:rPr>
        <w:t>第11-</w:t>
      </w:r>
      <w:r>
        <w:rPr>
          <w:rFonts w:asciiTheme="minorEastAsia" w:hAnsiTheme="minorEastAsia" w:cstheme="minorEastAsia"/>
          <w:b/>
          <w:color w:val="000000" w:themeColor="text1"/>
          <w:sz w:val="24"/>
          <w14:textFill>
            <w14:solidFill>
              <w14:schemeClr w14:val="tx1"/>
            </w14:solidFill>
          </w14:textFill>
        </w:rPr>
        <w:t>1</w:t>
      </w:r>
      <w:r>
        <w:rPr>
          <w:rFonts w:hint="eastAsia" w:asciiTheme="minorEastAsia" w:hAnsiTheme="minorEastAsia" w:cstheme="minorEastAsia"/>
          <w:b/>
          <w:color w:val="000000" w:themeColor="text1"/>
          <w:sz w:val="24"/>
          <w:lang w:val="en-US" w:eastAsia="zh-CN"/>
          <w14:textFill>
            <w14:solidFill>
              <w14:schemeClr w14:val="tx1"/>
            </w14:solidFill>
          </w14:textFill>
        </w:rPr>
        <w:t>6</w:t>
      </w:r>
      <w:r>
        <w:rPr>
          <w:rFonts w:hint="eastAsia" w:asciiTheme="minorEastAsia" w:hAnsiTheme="minorEastAsia" w:cstheme="minorEastAsia"/>
          <w:b/>
          <w:color w:val="000000" w:themeColor="text1"/>
          <w:sz w:val="24"/>
          <w14:textFill>
            <w14:solidFill>
              <w14:schemeClr w14:val="tx1"/>
            </w14:solidFill>
          </w14:textFill>
        </w:rPr>
        <w:t>名</w:t>
      </w:r>
      <w:r>
        <w:rPr>
          <w:rFonts w:hint="eastAsia" w:asciiTheme="minorEastAsia" w:hAnsiTheme="minorEastAsia" w:cstheme="minorEastAsia"/>
          <w:bCs/>
          <w:color w:val="000000" w:themeColor="text1"/>
          <w:sz w:val="24"/>
          <w14:textFill>
            <w14:solidFill>
              <w14:schemeClr w14:val="tx1"/>
            </w14:solidFill>
          </w14:textFill>
        </w:rPr>
        <w:t>的是：B</w:t>
      </w:r>
      <w:r>
        <w:rPr>
          <w:rFonts w:asciiTheme="minorEastAsia" w:hAnsiTheme="minorEastAsia" w:cstheme="minorEastAsia"/>
          <w:bCs/>
          <w:color w:val="000000" w:themeColor="text1"/>
          <w:sz w:val="24"/>
          <w14:textFill>
            <w14:solidFill>
              <w14:schemeClr w14:val="tx1"/>
            </w14:solidFill>
          </w14:textFill>
        </w:rPr>
        <w:t>OSS</w:t>
      </w:r>
      <w:r>
        <w:rPr>
          <w:rFonts w:hint="eastAsia" w:asciiTheme="minorEastAsia" w:hAnsiTheme="minorEastAsia" w:cstheme="minorEastAsia"/>
          <w:bCs/>
          <w:color w:val="000000" w:themeColor="text1"/>
          <w:sz w:val="24"/>
          <w14:textFill>
            <w14:solidFill>
              <w14:schemeClr w14:val="tx1"/>
            </w14:solidFill>
          </w14:textFill>
        </w:rPr>
        <w:t>直聘、</w:t>
      </w:r>
      <w:r>
        <w:rPr>
          <w:rFonts w:hint="eastAsia" w:asciiTheme="minorEastAsia" w:hAnsiTheme="minorEastAsia" w:cstheme="minorEastAsia"/>
          <w:bCs/>
          <w:color w:val="000000" w:themeColor="text1"/>
          <w:sz w:val="24"/>
          <w:lang w:val="en-US" w:eastAsia="zh-CN"/>
          <w14:textFill>
            <w14:solidFill>
              <w14:schemeClr w14:val="tx1"/>
            </w14:solidFill>
          </w14:textFill>
        </w:rPr>
        <w:t>途家、猫眼电影、联联周边游、同程旅行、智联招聘。</w:t>
      </w:r>
    </w:p>
    <w:p w14:paraId="4D39843E">
      <w:pPr>
        <w:spacing w:line="360" w:lineRule="auto"/>
        <w:jc w:val="left"/>
      </w:pPr>
      <w:r>
        <w:drawing>
          <wp:inline distT="0" distB="0" distL="0" distR="0">
            <wp:extent cx="5274310" cy="4142740"/>
            <wp:effectExtent l="0" t="0" r="2540" b="10160"/>
            <wp:docPr id="24" name="图片 24" descr="C:/Users/Administrator/Desktop/5.pn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Desktop/5.png5"/>
                    <pic:cNvPicPr>
                      <a:picLocks noChangeAspect="1"/>
                    </pic:cNvPicPr>
                  </pic:nvPicPr>
                  <pic:blipFill>
                    <a:blip r:embed="rId16"/>
                    <a:srcRect t="3889" b="3889"/>
                    <a:stretch>
                      <a:fillRect/>
                    </a:stretch>
                  </pic:blipFill>
                  <pic:spPr>
                    <a:xfrm>
                      <a:off x="0" y="0"/>
                      <a:ext cx="5274310" cy="4142740"/>
                    </a:xfrm>
                    <a:prstGeom prst="rect">
                      <a:avLst/>
                    </a:prstGeom>
                  </pic:spPr>
                </pic:pic>
              </a:graphicData>
            </a:graphic>
          </wp:inline>
        </w:drawing>
      </w:r>
    </w:p>
    <w:p w14:paraId="5324F55F">
      <w:pPr>
        <w:pStyle w:val="21"/>
        <w:spacing w:before="156"/>
        <w:jc w:val="left"/>
        <w:rPr>
          <w:rFonts w:hint="eastAsia" w:eastAsia="宋体"/>
          <w:b/>
          <w:bCs/>
          <w:lang w:eastAsia="zh-CN"/>
        </w:rPr>
      </w:pPr>
      <w:r>
        <w:t>在生活服务电商消费领域，据“电诉宝”受理用户维权案例，我们从中选取十大典型投诉案例，涉及</w:t>
      </w:r>
      <w:r>
        <w:rPr>
          <w:rFonts w:hint="eastAsia"/>
          <w:b/>
          <w:bCs/>
        </w:rPr>
        <w:t>万师傅、智行、去哪儿、飞猪、携程、走着瞧、联联周边游</w:t>
      </w:r>
      <w:r>
        <w:rPr>
          <w:rFonts w:hint="eastAsia"/>
          <w:b/>
          <w:bCs/>
          <w:lang w:eastAsia="zh-CN"/>
        </w:rPr>
        <w:t>、</w:t>
      </w:r>
      <w:r>
        <w:rPr>
          <w:rFonts w:hint="eastAsia"/>
          <w:b/>
          <w:bCs/>
        </w:rPr>
        <w:t>BOSS直聘、鲁班到家、猫眼</w:t>
      </w:r>
      <w:r>
        <w:rPr>
          <w:rFonts w:hint="eastAsia"/>
          <w:b/>
          <w:bCs/>
          <w:lang w:eastAsia="zh-CN"/>
        </w:rPr>
        <w:t>。</w:t>
      </w:r>
    </w:p>
    <w:p w14:paraId="546713E9">
      <w:pPr>
        <w:pStyle w:val="21"/>
        <w:spacing w:before="156"/>
        <w:ind w:firstLine="0" w:firstLineChars="0"/>
        <w:jc w:val="left"/>
        <w:rPr>
          <w:rFonts w:hint="eastAsia" w:eastAsia="宋体"/>
          <w:lang w:eastAsia="zh-CN"/>
        </w:rPr>
      </w:pPr>
      <w:r>
        <w:rPr>
          <w:rFonts w:hint="eastAsia" w:eastAsia="宋体"/>
          <w:lang w:eastAsia="zh-CN"/>
        </w:rPr>
        <w:drawing>
          <wp:inline distT="0" distB="0" distL="114300" distR="114300">
            <wp:extent cx="5273040" cy="4685030"/>
            <wp:effectExtent l="0" t="0" r="3810" b="1270"/>
            <wp:docPr id="27" name="图片 27" descr="2025年8月生活服务电商投诉十大典型案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025年8月生活服务电商投诉十大典型案例"/>
                    <pic:cNvPicPr>
                      <a:picLocks noChangeAspect="1"/>
                    </pic:cNvPicPr>
                  </pic:nvPicPr>
                  <pic:blipFill>
                    <a:blip r:embed="rId17"/>
                    <a:stretch>
                      <a:fillRect/>
                    </a:stretch>
                  </pic:blipFill>
                  <pic:spPr>
                    <a:xfrm>
                      <a:off x="0" y="0"/>
                      <a:ext cx="5273040" cy="4685030"/>
                    </a:xfrm>
                    <a:prstGeom prst="rect">
                      <a:avLst/>
                    </a:prstGeom>
                  </pic:spPr>
                </pic:pic>
              </a:graphicData>
            </a:graphic>
          </wp:inline>
        </w:drawing>
      </w:r>
    </w:p>
    <w:p w14:paraId="7D3D937F">
      <w:pPr>
        <w:pStyle w:val="21"/>
        <w:spacing w:before="156"/>
        <w:ind w:firstLine="482"/>
        <w:jc w:val="left"/>
        <w:rPr>
          <w:rFonts w:hint="default"/>
          <w:b/>
          <w:bCs/>
        </w:rPr>
      </w:pPr>
      <w:r>
        <w:rPr>
          <w:b/>
          <w:bCs/>
        </w:rPr>
        <w:t>【案例一】</w:t>
      </w:r>
      <w:r>
        <w:rPr>
          <w:rFonts w:hint="eastAsia"/>
          <w:b/>
          <w:bCs/>
        </w:rPr>
        <w:t>万师傅平台</w:t>
      </w:r>
      <w:r>
        <w:rPr>
          <w:rFonts w:hint="eastAsia"/>
          <w:b/>
          <w:bCs/>
          <w:lang w:val="en-US" w:eastAsia="zh-CN"/>
        </w:rPr>
        <w:t>被指</w:t>
      </w:r>
      <w:r>
        <w:rPr>
          <w:rFonts w:hint="eastAsia"/>
          <w:b/>
          <w:bCs/>
        </w:rPr>
        <w:t>安装服务失误致客户财产损失且拒不担责</w:t>
      </w:r>
    </w:p>
    <w:p w14:paraId="01823D64">
      <w:pPr>
        <w:pStyle w:val="21"/>
        <w:spacing w:before="156"/>
        <w:jc w:val="left"/>
        <w:rPr>
          <w:rFonts w:hint="default"/>
          <w:b/>
          <w:bCs/>
        </w:rPr>
      </w:pPr>
      <w:r>
        <w:rPr>
          <w:rFonts w:hint="eastAsia"/>
          <w:shd w:val="clear" w:color="auto" w:fill="FFFFFF"/>
          <w:lang w:val="en-US" w:eastAsia="zh-CN"/>
        </w:rPr>
        <w:t>8</w:t>
      </w:r>
      <w:r>
        <w:rPr>
          <w:shd w:val="clear" w:color="auto" w:fill="FFFFFF"/>
        </w:rPr>
        <w:t>月</w:t>
      </w:r>
      <w:r>
        <w:rPr>
          <w:rFonts w:hint="eastAsia"/>
          <w:shd w:val="clear" w:color="auto" w:fill="FFFFFF"/>
          <w:lang w:val="en-US" w:eastAsia="zh-CN"/>
        </w:rPr>
        <w:t>22</w:t>
      </w:r>
      <w:r>
        <w:rPr>
          <w:shd w:val="clear" w:color="auto" w:fill="FFFFFF"/>
        </w:rPr>
        <w:t>日，</w:t>
      </w:r>
      <w:r>
        <w:rPr>
          <w:rFonts w:hint="eastAsia"/>
          <w:shd w:val="clear" w:color="auto" w:fill="FFFFFF"/>
          <w:lang w:val="en-US" w:eastAsia="zh-CN"/>
        </w:rPr>
        <w:t>贵州</w:t>
      </w:r>
      <w:r>
        <w:rPr>
          <w:shd w:val="clear" w:color="auto" w:fill="FFFFFF"/>
        </w:rPr>
        <w:t>省的</w:t>
      </w:r>
      <w:r>
        <w:rPr>
          <w:rFonts w:hint="eastAsia"/>
          <w:shd w:val="clear" w:color="auto" w:fill="FFFFFF"/>
          <w:lang w:val="en-US" w:eastAsia="zh-CN"/>
        </w:rPr>
        <w:t>王</w:t>
      </w:r>
      <w:r>
        <w:rPr>
          <w:shd w:val="clear" w:color="auto" w:fill="FFFFFF"/>
        </w:rPr>
        <w:t>先生向“电诉宝”投诉称其于</w:t>
      </w:r>
      <w:r>
        <w:rPr>
          <w:rFonts w:hint="eastAsia"/>
          <w:shd w:val="clear" w:color="auto" w:fill="FFFFFF"/>
        </w:rPr>
        <w:t>8月9日通过万师傅平台预约安装服务，施工师傅未提前确认墙体水管走位即打孔作业，导致客户家中两处水管破裂。安装师傅试图采用切割瓷砖并遮挡的敷衍方案遭客户拒绝，客户通过装修公司要求正规整改，产生敲砖、拆除吊顶等费用共计1650元。用户多次联系万师傅平台处理未果，要求平台承担因施工失误造成的全部经济损失。</w:t>
      </w:r>
    </w:p>
    <w:p w14:paraId="45380524">
      <w:pPr>
        <w:pStyle w:val="21"/>
        <w:spacing w:before="156"/>
        <w:ind w:firstLine="482"/>
        <w:jc w:val="left"/>
        <w:rPr>
          <w:rFonts w:hint="default"/>
          <w:b/>
          <w:bCs/>
        </w:rPr>
      </w:pPr>
      <w:r>
        <w:rPr>
          <w:b/>
          <w:bCs/>
        </w:rPr>
        <w:t>【案例二】</w:t>
      </w:r>
      <w:r>
        <w:rPr>
          <w:rFonts w:hint="eastAsia"/>
          <w:b/>
          <w:bCs/>
        </w:rPr>
        <w:t>智行平台被曝退票扣费不合规 消费者损失千元</w:t>
      </w:r>
    </w:p>
    <w:p w14:paraId="04450B11">
      <w:pPr>
        <w:pStyle w:val="21"/>
        <w:spacing w:before="156"/>
        <w:jc w:val="left"/>
        <w:rPr>
          <w:rFonts w:hint="default"/>
        </w:rPr>
      </w:pPr>
      <w:r>
        <w:rPr>
          <w:rFonts w:hint="default"/>
        </w:rPr>
        <w:t>8月26日，山东省的一位先生向电诉宝投诉称其于8月25日在智行平台购买了一张9月5日起飞的机票，票面价格为2200元，却在8月26日误操作退票，仅收到退款932元，损失约1000元。用户认为，根据《中华人民共和国民法典》第八百一十六条规定，航班起飞时间（9月5日）距离退票日（8月26日）远超24小时，退票费最高不得超过机票价格的10%，但智行平台实际扣费比例远高于此，涉嫌违反相关规定，损害消费者权益。目前，该平台暂未回应。</w:t>
      </w:r>
    </w:p>
    <w:p w14:paraId="09BDD016">
      <w:pPr>
        <w:pStyle w:val="21"/>
        <w:spacing w:before="156"/>
        <w:ind w:firstLine="482"/>
        <w:jc w:val="left"/>
        <w:rPr>
          <w:rFonts w:hint="default"/>
          <w:b/>
          <w:bCs/>
        </w:rPr>
      </w:pPr>
      <w:r>
        <w:rPr>
          <w:b/>
          <w:bCs/>
        </w:rPr>
        <w:t>【案例三】</w:t>
      </w:r>
      <w:r>
        <w:rPr>
          <w:rFonts w:hint="eastAsia"/>
          <w:b/>
          <w:bCs/>
        </w:rPr>
        <w:t>去哪儿网被指民宿货不对板 退款维权困难</w:t>
      </w:r>
    </w:p>
    <w:p w14:paraId="6D7F9BE1">
      <w:pPr>
        <w:pStyle w:val="21"/>
        <w:spacing w:before="156"/>
        <w:ind w:firstLine="482"/>
        <w:jc w:val="left"/>
        <w:rPr>
          <w:rFonts w:hint="eastAsia"/>
          <w:b w:val="0"/>
          <w:bCs w:val="0"/>
        </w:rPr>
      </w:pPr>
      <w:r>
        <w:rPr>
          <w:rFonts w:hint="eastAsia"/>
          <w:b w:val="0"/>
          <w:bCs w:val="0"/>
        </w:rPr>
        <w:t>8月12日，四川省的张女士向电诉宝投诉称其于8月4日通过去哪儿网平台预订了某民宿“安心订放心住”的湖景巨幕双床房两晚。到店后却发现实际环境与宣传严重不符，景区距离远超平台标注的直线距离，且存在设施陈旧、卫生脏乱、大型犬散养等问题。消费者因无法接受而未入住，并自行另订房间。</w:t>
      </w:r>
    </w:p>
    <w:p w14:paraId="4EB5B3B3">
      <w:pPr>
        <w:pStyle w:val="21"/>
        <w:spacing w:before="156"/>
        <w:ind w:firstLine="482"/>
        <w:jc w:val="left"/>
        <w:rPr>
          <w:rFonts w:hint="eastAsia"/>
          <w:b w:val="0"/>
          <w:bCs w:val="0"/>
        </w:rPr>
      </w:pPr>
      <w:r>
        <w:rPr>
          <w:rFonts w:hint="eastAsia"/>
          <w:b w:val="0"/>
          <w:bCs w:val="0"/>
        </w:rPr>
        <w:t>事后，商家以“不可取消”为由拒绝退款，去哪儿网平台则仅提议补偿350元优惠券试图了结。此举导致消费者不仅损失了全部房费，还额外支出了时间、交通成本并承受了精神压力。在协商过程中，平台客服反复询问相同问题，再次耗费了其大量时间与精力。</w:t>
      </w:r>
    </w:p>
    <w:p w14:paraId="08E7184C">
      <w:pPr>
        <w:pStyle w:val="21"/>
        <w:spacing w:before="156"/>
        <w:ind w:firstLine="482"/>
        <w:jc w:val="left"/>
        <w:rPr>
          <w:rFonts w:hint="default"/>
          <w:b/>
          <w:bCs/>
        </w:rPr>
      </w:pPr>
      <w:r>
        <w:rPr>
          <w:b/>
          <w:bCs/>
        </w:rPr>
        <w:t>【案例四】</w:t>
      </w:r>
      <w:r>
        <w:rPr>
          <w:rFonts w:hint="eastAsia"/>
          <w:b/>
          <w:bCs/>
        </w:rPr>
        <w:t>飞猪平台被投诉价格标识不一</w:t>
      </w:r>
    </w:p>
    <w:p w14:paraId="441D8DE9">
      <w:pPr>
        <w:pStyle w:val="21"/>
        <w:spacing w:before="156"/>
        <w:jc w:val="left"/>
        <w:rPr>
          <w:rFonts w:hint="default"/>
        </w:rPr>
      </w:pPr>
      <w:r>
        <w:rPr>
          <w:rFonts w:hint="default"/>
        </w:rPr>
        <w:t>8月15日，山东省的赵女士向电诉宝投诉称其于8月13日在飞猪平台预订美国拉斯维加斯马蹄湾酒店住宿，预订时页面显示两种含税价格：线上支付+到店付税费、线上支付包含税费。用户选择“线上支付包含税费”选项并完成支付，但到店后酒店仍要求额外支付406.85元。</w:t>
      </w:r>
    </w:p>
    <w:p w14:paraId="57ACDB53">
      <w:pPr>
        <w:pStyle w:val="21"/>
        <w:spacing w:before="156"/>
        <w:jc w:val="left"/>
        <w:rPr>
          <w:rFonts w:hint="default"/>
        </w:rPr>
      </w:pPr>
      <w:r>
        <w:rPr>
          <w:rFonts w:hint="default"/>
        </w:rPr>
        <w:t>用户认为飞猪平台未统一标识价格，存在价格标注问题，误导消费者。现要求飞猪退回多收款项，并按照国家规定进行赔偿。</w:t>
      </w:r>
    </w:p>
    <w:p w14:paraId="4E47DF57">
      <w:pPr>
        <w:pStyle w:val="21"/>
        <w:spacing w:before="156"/>
        <w:ind w:firstLine="482"/>
        <w:jc w:val="left"/>
        <w:rPr>
          <w:rFonts w:hint="default"/>
          <w:b/>
          <w:bCs/>
        </w:rPr>
      </w:pPr>
      <w:r>
        <w:rPr>
          <w:b/>
          <w:bCs/>
        </w:rPr>
        <w:t>【案例五】</w:t>
      </w:r>
      <w:r>
        <w:rPr>
          <w:rFonts w:hint="eastAsia"/>
          <w:b/>
          <w:bCs/>
        </w:rPr>
        <w:t>携程“长白山一日游”服务被指出现费用不透明问题</w:t>
      </w:r>
    </w:p>
    <w:p w14:paraId="3215C8A7">
      <w:pPr>
        <w:pStyle w:val="21"/>
        <w:spacing w:before="156"/>
        <w:jc w:val="left"/>
        <w:rPr>
          <w:rFonts w:hint="default"/>
          <w:b w:val="0"/>
          <w:bCs w:val="0"/>
        </w:rPr>
      </w:pPr>
      <w:r>
        <w:rPr>
          <w:rFonts w:hint="default"/>
          <w:b w:val="0"/>
          <w:bCs w:val="0"/>
        </w:rPr>
        <w:t>8月19日，辽宁省的郭女士向电诉宝投诉称其在携程网预订了上海携程国际旅行社提供的“长白山天池+西坡一日游”产品，遭遇了服务与宣传不符、景点缩水退款不足及车费定价显失公平等问题。</w:t>
      </w:r>
    </w:p>
    <w:p w14:paraId="37D3325E">
      <w:pPr>
        <w:pStyle w:val="21"/>
        <w:spacing w:before="156"/>
        <w:jc w:val="left"/>
        <w:rPr>
          <w:rFonts w:hint="default"/>
          <w:b w:val="0"/>
          <w:bCs w:val="0"/>
        </w:rPr>
      </w:pPr>
      <w:r>
        <w:rPr>
          <w:rFonts w:hint="default"/>
          <w:b w:val="0"/>
          <w:bCs w:val="0"/>
        </w:rPr>
        <w:t>消费者指出，实际服务并无导游陪同，涉嫌虚假宣传；且因景点未开放，旅行社未足额退还景区承诺的50%门票费用；此外，高达千余元的车费远超合理范围且未提前公示。经多次联系携程客服未果后，现要求退还50%费用、书面道歉并提请行政主管部门介入处理。目前，平台暂未回应。</w:t>
      </w:r>
    </w:p>
    <w:p w14:paraId="62D5A8F3">
      <w:pPr>
        <w:pStyle w:val="21"/>
        <w:spacing w:before="156"/>
        <w:ind w:firstLine="482"/>
        <w:jc w:val="left"/>
        <w:rPr>
          <w:rFonts w:hint="default"/>
          <w:b/>
          <w:bCs/>
        </w:rPr>
      </w:pPr>
      <w:bookmarkStart w:id="18" w:name="OLE_LINK2"/>
      <w:r>
        <w:rPr>
          <w:b/>
          <w:bCs/>
        </w:rPr>
        <w:t>【案例六】</w:t>
      </w:r>
      <w:bookmarkEnd w:id="18"/>
      <w:r>
        <w:rPr>
          <w:rFonts w:hint="eastAsia"/>
          <w:b/>
          <w:bCs/>
        </w:rPr>
        <w:t>用户称因安全原因取消行程 “走着瞧旅行”却强制扣款30%</w:t>
      </w:r>
    </w:p>
    <w:p w14:paraId="2112FDB3">
      <w:pPr>
        <w:pStyle w:val="21"/>
        <w:spacing w:before="156"/>
        <w:jc w:val="left"/>
        <w:rPr>
          <w:rFonts w:hint="default"/>
          <w:b w:val="0"/>
          <w:bCs w:val="0"/>
        </w:rPr>
      </w:pPr>
      <w:r>
        <w:rPr>
          <w:rFonts w:hint="default"/>
          <w:b w:val="0"/>
          <w:bCs w:val="0"/>
        </w:rPr>
        <w:t>8月4日，福建省的黄女士投诉称其于2024年11月11日在微信平台“走着瞧”旅行社购买了普吉岛旅行产品，后因东南亚妙瓦底地区安全事件担忧，要求取消行程。起初旅行社建议延期或更换国内路线，但用户因无国内出行计划坚持退款，却被告知需扣除30%费用。黄女士认为，其未预约具体出行日期，旅行社也未产生实际成本，扣款缺乏合理性，且下单时未提前告知退款条款。</w:t>
      </w:r>
    </w:p>
    <w:p w14:paraId="561EBB77">
      <w:pPr>
        <w:pStyle w:val="21"/>
        <w:spacing w:before="156"/>
        <w:jc w:val="left"/>
        <w:rPr>
          <w:rFonts w:hint="default"/>
          <w:b w:val="0"/>
          <w:bCs w:val="0"/>
        </w:rPr>
      </w:pPr>
      <w:r>
        <w:rPr>
          <w:rFonts w:hint="default"/>
          <w:b w:val="0"/>
          <w:bCs w:val="0"/>
        </w:rPr>
        <w:t>黄女士质疑此为“霸王条款”，希望相关部门介入协调全额退款。</w:t>
      </w:r>
    </w:p>
    <w:p w14:paraId="2E4B251B">
      <w:pPr>
        <w:pStyle w:val="21"/>
        <w:spacing w:before="156"/>
        <w:ind w:firstLine="482"/>
        <w:jc w:val="left"/>
        <w:rPr>
          <w:rFonts w:hint="default"/>
          <w:b/>
          <w:bCs/>
        </w:rPr>
      </w:pPr>
      <w:r>
        <w:rPr>
          <w:b/>
          <w:bCs/>
        </w:rPr>
        <w:t>【案例七】</w:t>
      </w:r>
      <w:r>
        <w:rPr>
          <w:rFonts w:hint="eastAsia"/>
          <w:b/>
          <w:bCs/>
        </w:rPr>
        <w:t>“联联周边游”售卖CPB隔离霜假货且拒赔</w:t>
      </w:r>
    </w:p>
    <w:p w14:paraId="702DD8C3">
      <w:pPr>
        <w:pStyle w:val="21"/>
        <w:spacing w:before="156"/>
        <w:ind w:firstLine="482"/>
        <w:jc w:val="left"/>
        <w:rPr>
          <w:rFonts w:hint="eastAsia"/>
          <w:b w:val="0"/>
          <w:bCs w:val="0"/>
        </w:rPr>
      </w:pPr>
      <w:r>
        <w:rPr>
          <w:rFonts w:hint="eastAsia"/>
          <w:b w:val="0"/>
          <w:bCs w:val="0"/>
        </w:rPr>
        <w:t>8月11日，辽宁省的刘女士向电诉宝投诉称其于6月24日通过联联周边游平台购买CPB隔离霜，收货使用后确认为假货。与商家协商时，客服以"产品已过售后期限"为由拒绝处理，且态度强硬。</w:t>
      </w:r>
    </w:p>
    <w:p w14:paraId="1080103B">
      <w:pPr>
        <w:pStyle w:val="21"/>
        <w:spacing w:before="156"/>
        <w:ind w:firstLine="482"/>
        <w:jc w:val="left"/>
        <w:rPr>
          <w:rFonts w:hint="eastAsia"/>
          <w:b w:val="0"/>
          <w:bCs w:val="0"/>
        </w:rPr>
      </w:pPr>
      <w:r>
        <w:rPr>
          <w:rFonts w:hint="eastAsia"/>
          <w:b w:val="0"/>
          <w:bCs w:val="0"/>
        </w:rPr>
        <w:t>目前，刘女士要求平台介入，并主张退一赔三。</w:t>
      </w:r>
    </w:p>
    <w:p w14:paraId="0DD3A888">
      <w:pPr>
        <w:pStyle w:val="21"/>
        <w:spacing w:before="156"/>
        <w:ind w:firstLine="482"/>
        <w:jc w:val="left"/>
        <w:rPr>
          <w:rFonts w:hint="default"/>
          <w:b/>
          <w:bCs/>
        </w:rPr>
      </w:pPr>
      <w:r>
        <w:rPr>
          <w:b/>
          <w:bCs/>
        </w:rPr>
        <w:t>【案例八】</w:t>
      </w:r>
      <w:r>
        <w:rPr>
          <w:rFonts w:hint="eastAsia"/>
          <w:b/>
          <w:bCs/>
        </w:rPr>
        <w:t>用户投诉BOSS直聘平台封号后拒不退还会员费用</w:t>
      </w:r>
    </w:p>
    <w:p w14:paraId="0F519CA6">
      <w:pPr>
        <w:pStyle w:val="21"/>
        <w:spacing w:before="156"/>
        <w:ind w:firstLine="482"/>
        <w:jc w:val="left"/>
        <w:rPr>
          <w:rFonts w:hint="eastAsia"/>
        </w:rPr>
      </w:pPr>
      <w:r>
        <w:rPr>
          <w:rFonts w:hint="eastAsia"/>
          <w:lang w:val="en-US" w:eastAsia="zh-CN"/>
        </w:rPr>
        <w:t>8</w:t>
      </w:r>
      <w:r>
        <w:t>月</w:t>
      </w:r>
      <w:r>
        <w:rPr>
          <w:rFonts w:hint="eastAsia"/>
          <w:lang w:val="en-US" w:eastAsia="zh-CN"/>
        </w:rPr>
        <w:t>14</w:t>
      </w:r>
      <w:r>
        <w:rPr>
          <w:rFonts w:hint="default"/>
        </w:rPr>
        <w:t>日，</w:t>
      </w:r>
      <w:r>
        <w:rPr>
          <w:rFonts w:hint="eastAsia"/>
          <w:lang w:val="en-US" w:eastAsia="zh-CN"/>
        </w:rPr>
        <w:t>河北</w:t>
      </w:r>
      <w:r>
        <w:rPr>
          <w:rFonts w:hint="default"/>
        </w:rPr>
        <w:t>省</w:t>
      </w:r>
      <w:r>
        <w:rPr>
          <w:rFonts w:hint="eastAsia"/>
          <w:lang w:val="en-US" w:eastAsia="zh-CN"/>
        </w:rPr>
        <w:t>高先生</w:t>
      </w:r>
      <w:r>
        <w:t>向电诉宝投诉称其</w:t>
      </w:r>
      <w:r>
        <w:rPr>
          <w:rFonts w:hint="eastAsia"/>
          <w:lang w:val="en-US" w:eastAsia="zh-CN"/>
        </w:rPr>
        <w:t>于</w:t>
      </w:r>
      <w:r>
        <w:rPr>
          <w:rFonts w:hint="eastAsia"/>
        </w:rPr>
        <w:t>8月13日注册BOSS直聘并购买会员服务，因与面试者沟通时涉嫌违规遭封号处理。平台多次拒绝解封申请，且拒绝退还当日充值费用，仅同意30天后将费用转换为平台币。用户质疑平台规则执行合理性，要求直接退款而非置换平台币，并指责客服以拖延方式回避问题。</w:t>
      </w:r>
    </w:p>
    <w:p w14:paraId="650AAFD5">
      <w:pPr>
        <w:pStyle w:val="21"/>
        <w:spacing w:before="156"/>
        <w:ind w:firstLine="482"/>
        <w:jc w:val="left"/>
        <w:rPr>
          <w:rFonts w:hint="default"/>
          <w:b/>
          <w:bCs/>
        </w:rPr>
      </w:pPr>
      <w:r>
        <w:rPr>
          <w:b/>
          <w:bCs/>
        </w:rPr>
        <w:t>【案例九】</w:t>
      </w:r>
      <w:bookmarkStart w:id="19" w:name="OLE_LINK3"/>
      <w:r>
        <w:rPr>
          <w:rFonts w:hint="eastAsia"/>
          <w:b/>
          <w:bCs/>
        </w:rPr>
        <w:t>“鲁班到家”平台强制师傅返还已协商维修费 被指不公</w:t>
      </w:r>
    </w:p>
    <w:p w14:paraId="4E4F63FB">
      <w:pPr>
        <w:pStyle w:val="21"/>
        <w:spacing w:before="156"/>
        <w:ind w:firstLine="482"/>
        <w:jc w:val="left"/>
        <w:rPr>
          <w:rFonts w:hint="eastAsia"/>
          <w:b w:val="0"/>
          <w:bCs w:val="0"/>
        </w:rPr>
      </w:pPr>
      <w:r>
        <w:rPr>
          <w:rFonts w:hint="eastAsia"/>
          <w:b w:val="0"/>
          <w:bCs w:val="0"/>
        </w:rPr>
        <w:t>8月13日，天津市的李先生向电诉宝投诉称，其作为装修师傅于8月12日接单维修时，因商家产品问题协商追加80元维修费并已收款。但订单完成后，商家以"要价过高"为由要求退还30元，该诉求竟获平台支持。</w:t>
      </w:r>
    </w:p>
    <w:p w14:paraId="53D0642F">
      <w:pPr>
        <w:pStyle w:val="21"/>
        <w:spacing w:before="156"/>
        <w:ind w:firstLine="482"/>
        <w:jc w:val="left"/>
        <w:rPr>
          <w:rFonts w:hint="eastAsia"/>
          <w:b w:val="0"/>
          <w:bCs w:val="0"/>
        </w:rPr>
      </w:pPr>
      <w:r>
        <w:rPr>
          <w:rFonts w:hint="eastAsia"/>
          <w:b w:val="0"/>
          <w:bCs w:val="0"/>
        </w:rPr>
        <w:t>用户质疑此类处理严重侵害劳动者权益，既无公平性亦缺乏合理性，希望平台能够介入解决问题。</w:t>
      </w:r>
    </w:p>
    <w:p w14:paraId="6974341E">
      <w:pPr>
        <w:pStyle w:val="21"/>
        <w:spacing w:before="156"/>
        <w:ind w:firstLine="482"/>
        <w:jc w:val="left"/>
        <w:rPr>
          <w:rFonts w:hint="default"/>
          <w:b/>
          <w:bCs/>
        </w:rPr>
      </w:pPr>
      <w:r>
        <w:rPr>
          <w:b/>
          <w:bCs/>
        </w:rPr>
        <w:t>【案例十】</w:t>
      </w:r>
      <w:bookmarkEnd w:id="19"/>
      <w:r>
        <w:rPr>
          <w:rFonts w:hint="eastAsia"/>
          <w:b/>
          <w:bCs/>
        </w:rPr>
        <w:t>猫眼平台</w:t>
      </w:r>
      <w:r>
        <w:rPr>
          <w:rFonts w:hint="eastAsia"/>
          <w:b/>
          <w:bCs/>
          <w:lang w:val="en-US" w:eastAsia="zh-CN"/>
        </w:rPr>
        <w:t>被指</w:t>
      </w:r>
      <w:r>
        <w:rPr>
          <w:rFonts w:hint="eastAsia"/>
          <w:b/>
          <w:bCs/>
        </w:rPr>
        <w:t>隐瞒舞台布局变更且拒绝退票</w:t>
      </w:r>
    </w:p>
    <w:p w14:paraId="148ECEB1">
      <w:pPr>
        <w:pStyle w:val="21"/>
        <w:spacing w:before="156"/>
        <w:jc w:val="left"/>
        <w:rPr>
          <w:rFonts w:hint="default"/>
        </w:rPr>
      </w:pPr>
      <w:r>
        <w:rPr>
          <w:rFonts w:hint="eastAsia"/>
          <w:lang w:val="en-US" w:eastAsia="zh-CN"/>
        </w:rPr>
        <w:t>8</w:t>
      </w:r>
      <w:r>
        <w:rPr>
          <w:rFonts w:hint="default"/>
        </w:rPr>
        <w:t>月</w:t>
      </w:r>
      <w:r>
        <w:rPr>
          <w:rFonts w:hint="eastAsia"/>
          <w:lang w:val="en-US" w:eastAsia="zh-CN"/>
        </w:rPr>
        <w:t>2</w:t>
      </w:r>
      <w:r>
        <w:rPr>
          <w:rFonts w:hint="default"/>
        </w:rPr>
        <w:t>日，广东省的</w:t>
      </w:r>
      <w:r>
        <w:rPr>
          <w:rFonts w:hint="eastAsia"/>
          <w:lang w:val="en-US" w:eastAsia="zh-CN"/>
        </w:rPr>
        <w:t>蔡</w:t>
      </w:r>
      <w:r>
        <w:rPr>
          <w:rFonts w:hint="default"/>
        </w:rPr>
        <w:t>女士向电诉宝投诉称其</w:t>
      </w:r>
      <w:r>
        <w:rPr>
          <w:rFonts w:hint="eastAsia"/>
          <w:lang w:val="en-US" w:eastAsia="zh-CN"/>
        </w:rPr>
        <w:t>于</w:t>
      </w:r>
      <w:r>
        <w:rPr>
          <w:rFonts w:hint="default"/>
        </w:rPr>
        <w:t>7月28日购买"2025TIMA国际音乐大赏"VIP站位票（金额1811元），购票前主办方未提供舞台及座位分布图，用户默认沿用2024年场地布局。购票后才发现本届VIP站位区被前方VVIP区完全遮挡，与去年布局存在重大差异，严重不符合票价价值。用户质疑主办方故意隐瞒布局变更（2024年购票前即公布图纸，2025年却购票后才发布），涉嫌误导消费。</w:t>
      </w:r>
    </w:p>
    <w:p w14:paraId="72ED5CF0">
      <w:pPr>
        <w:pStyle w:val="21"/>
        <w:spacing w:before="156"/>
        <w:jc w:val="left"/>
        <w:rPr>
          <w:rFonts w:hint="default"/>
        </w:rPr>
      </w:pPr>
      <w:r>
        <w:rPr>
          <w:rFonts w:hint="default"/>
        </w:rPr>
        <w:t>用户要求猫眼平台或主办方依据《消费者权益保护法》退还全款，但平台以"不支持退票"为由拒绝。用户指出国家文旅局曾多次批评猫眼等票务平台"霸王条款"，呼吁相关部门介入处理。</w:t>
      </w:r>
    </w:p>
    <w:p w14:paraId="5AFD3CD9">
      <w:pPr>
        <w:pStyle w:val="20"/>
        <w:spacing w:line="360" w:lineRule="auto"/>
        <w:jc w:val="left"/>
        <w:rPr>
          <w:rFonts w:hint="default"/>
        </w:rPr>
      </w:pPr>
      <w:bookmarkStart w:id="20" w:name="_Toc15181"/>
      <w:r>
        <w:t>（三）跨境电商数据与十大典型案例</w:t>
      </w:r>
      <w:bookmarkEnd w:id="20"/>
    </w:p>
    <w:p w14:paraId="401444F9">
      <w:pPr>
        <w:pStyle w:val="21"/>
        <w:spacing w:before="156"/>
        <w:ind w:firstLine="562"/>
        <w:jc w:val="left"/>
        <w:rPr>
          <w:rFonts w:hint="default"/>
          <w:b/>
          <w:bCs/>
          <w:sz w:val="28"/>
          <w:szCs w:val="28"/>
        </w:rPr>
      </w:pPr>
      <w:r>
        <w:rPr>
          <w:b/>
          <w:bCs/>
          <w:sz w:val="28"/>
          <w:szCs w:val="28"/>
        </w:rPr>
        <w:t>跨境电商消费评级榜</w:t>
      </w:r>
    </w:p>
    <w:p w14:paraId="5B58386B">
      <w:pPr>
        <w:pStyle w:val="21"/>
        <w:spacing w:before="156"/>
        <w:jc w:val="left"/>
        <w:rPr>
          <w:rFonts w:hint="default"/>
        </w:rPr>
      </w:pPr>
      <w:r>
        <w:t>在2025年</w:t>
      </w:r>
      <w:r>
        <w:rPr>
          <w:rFonts w:hint="eastAsia"/>
          <w:lang w:eastAsia="zh-CN"/>
        </w:rPr>
        <w:t>8月</w:t>
      </w:r>
      <w:r>
        <w:t>全国跨境电商评级榜中：获</w:t>
      </w:r>
      <w:r>
        <w:rPr>
          <w:b/>
          <w:bCs/>
        </w:rPr>
        <w:t>“不予评级”</w:t>
      </w:r>
      <w:r>
        <w:t>的有：全球速卖通共</w:t>
      </w:r>
      <w:r>
        <w:rPr>
          <w:rFonts w:hint="default"/>
        </w:rPr>
        <w:t>1</w:t>
      </w:r>
      <w:r>
        <w:t>家。</w:t>
      </w:r>
    </w:p>
    <w:p w14:paraId="1D8E8F78">
      <w:pPr>
        <w:pStyle w:val="21"/>
        <w:spacing w:before="156"/>
        <w:ind w:firstLine="0" w:firstLineChars="0"/>
        <w:jc w:val="left"/>
        <w:rPr>
          <w:rFonts w:hint="default"/>
        </w:rPr>
      </w:pPr>
      <w:r>
        <w:drawing>
          <wp:inline distT="0" distB="0" distL="0" distR="0">
            <wp:extent cx="5274310" cy="2875915"/>
            <wp:effectExtent l="0" t="0" r="2540" b="635"/>
            <wp:docPr id="38" name="图片 38" descr="C:/Users/Administrator/Desktop/6.pn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istrator/Desktop/6.png6"/>
                    <pic:cNvPicPr>
                      <a:picLocks noChangeAspect="1" noChangeArrowheads="1"/>
                    </pic:cNvPicPr>
                  </pic:nvPicPr>
                  <pic:blipFill>
                    <a:blip r:embed="rId18"/>
                    <a:srcRect t="18" b="18"/>
                    <a:stretch>
                      <a:fillRect/>
                    </a:stretch>
                  </pic:blipFill>
                  <pic:spPr>
                    <a:xfrm>
                      <a:off x="0" y="0"/>
                      <a:ext cx="5274310" cy="2875915"/>
                    </a:xfrm>
                    <a:prstGeom prst="rect">
                      <a:avLst/>
                    </a:prstGeom>
                    <a:noFill/>
                    <a:ln>
                      <a:noFill/>
                    </a:ln>
                  </pic:spPr>
                </pic:pic>
              </a:graphicData>
            </a:graphic>
          </wp:inline>
        </w:drawing>
      </w:r>
    </w:p>
    <w:p w14:paraId="5B8A6B44">
      <w:pPr>
        <w:pStyle w:val="21"/>
        <w:spacing w:before="156"/>
        <w:ind w:firstLine="562"/>
        <w:jc w:val="left"/>
        <w:rPr>
          <w:rFonts w:hint="default"/>
          <w:b/>
          <w:bCs/>
          <w:sz w:val="28"/>
          <w:szCs w:val="28"/>
        </w:rPr>
      </w:pPr>
      <w:r>
        <w:rPr>
          <w:b/>
          <w:bCs/>
          <w:sz w:val="28"/>
          <w:szCs w:val="28"/>
        </w:rPr>
        <w:t>跨境电商上榜平台</w:t>
      </w:r>
      <w:r>
        <w:rPr>
          <w:rFonts w:hint="eastAsia"/>
          <w:b/>
          <w:bCs/>
          <w:sz w:val="28"/>
          <w:szCs w:val="28"/>
          <w:lang w:val="en-US" w:eastAsia="zh-CN"/>
        </w:rPr>
        <w:t>8</w:t>
      </w:r>
      <w:r>
        <w:rPr>
          <w:b/>
          <w:bCs/>
          <w:sz w:val="28"/>
          <w:szCs w:val="28"/>
        </w:rPr>
        <w:t>家</w:t>
      </w:r>
      <w:r>
        <w:rPr>
          <w:rFonts w:hint="default"/>
          <w:b/>
          <w:bCs/>
          <w:sz w:val="28"/>
          <w:szCs w:val="28"/>
        </w:rPr>
        <w:t xml:space="preserve"> </w:t>
      </w:r>
    </w:p>
    <w:p w14:paraId="1574CE62">
      <w:pPr>
        <w:pStyle w:val="21"/>
        <w:spacing w:before="156"/>
        <w:jc w:val="left"/>
        <w:rPr>
          <w:rFonts w:hint="eastAsia" w:eastAsia="宋体"/>
          <w:lang w:val="en-US" w:eastAsia="zh-CN"/>
        </w:rPr>
      </w:pPr>
      <w:r>
        <w:t>投诉量</w:t>
      </w:r>
      <w:r>
        <w:rPr>
          <w:b/>
          <w:bCs/>
        </w:rPr>
        <w:t>TOP</w:t>
      </w:r>
      <w:r>
        <w:rPr>
          <w:rFonts w:hint="eastAsia"/>
          <w:b/>
          <w:bCs/>
          <w:lang w:val="en-US" w:eastAsia="zh-CN"/>
        </w:rPr>
        <w:t>8</w:t>
      </w:r>
      <w:r>
        <w:t>依次为：全球速卖通、shopee、</w:t>
      </w:r>
      <w:r>
        <w:rPr>
          <w:rFonts w:hint="eastAsia"/>
          <w:lang w:val="en-US" w:eastAsia="zh-CN"/>
        </w:rPr>
        <w:t>天猫国际、阿里巴巴国际站、</w:t>
      </w:r>
      <w:r>
        <w:t>寺库、</w:t>
      </w:r>
      <w:r>
        <w:rPr>
          <w:rFonts w:hint="eastAsia"/>
          <w:lang w:val="en-US" w:eastAsia="zh-CN"/>
        </w:rPr>
        <w:t>亚马逊、敦煌网、中免日上。</w:t>
      </w:r>
    </w:p>
    <w:p w14:paraId="2C23F9D6">
      <w:pPr>
        <w:spacing w:line="360" w:lineRule="auto"/>
        <w:jc w:val="left"/>
      </w:pPr>
      <w:r>
        <w:rPr>
          <w:rFonts w:hint="eastAsia" w:eastAsiaTheme="minorEastAsia"/>
          <w:lang w:eastAsia="zh-CN"/>
        </w:rPr>
        <w:drawing>
          <wp:inline distT="0" distB="0" distL="114300" distR="114300">
            <wp:extent cx="5274310" cy="3587115"/>
            <wp:effectExtent l="0" t="0" r="2540" b="13335"/>
            <wp:docPr id="23" name="图片 2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7"/>
                    <pic:cNvPicPr>
                      <a:picLocks noChangeAspect="1"/>
                    </pic:cNvPicPr>
                  </pic:nvPicPr>
                  <pic:blipFill>
                    <a:blip r:embed="rId19"/>
                    <a:stretch>
                      <a:fillRect/>
                    </a:stretch>
                  </pic:blipFill>
                  <pic:spPr>
                    <a:xfrm>
                      <a:off x="0" y="0"/>
                      <a:ext cx="5274310" cy="3587115"/>
                    </a:xfrm>
                    <a:prstGeom prst="rect">
                      <a:avLst/>
                    </a:prstGeom>
                  </pic:spPr>
                </pic:pic>
              </a:graphicData>
            </a:graphic>
          </wp:inline>
        </w:drawing>
      </w:r>
    </w:p>
    <w:p w14:paraId="1C72D5F3">
      <w:pPr>
        <w:pStyle w:val="21"/>
        <w:spacing w:before="156"/>
        <w:jc w:val="left"/>
        <w:rPr>
          <w:rFonts w:hint="default"/>
          <w:b/>
          <w:bCs/>
        </w:rPr>
      </w:pPr>
      <w:r>
        <w:t>在跨境电商消费领域，据“电诉宝”受理用户维权案例，我们从中选取十大典型投诉案例，涉及</w:t>
      </w:r>
      <w:r>
        <w:rPr>
          <w:rFonts w:hint="eastAsia"/>
          <w:b/>
          <w:bCs/>
        </w:rPr>
        <w:t>寺库、转运中国、天猫国际、TikTok Shop、海淘、亚马逊、中免日上、洋码头、天猫国际、识季</w:t>
      </w:r>
      <w:r>
        <w:rPr>
          <w:b/>
          <w:bCs/>
        </w:rPr>
        <w:t>。</w:t>
      </w:r>
    </w:p>
    <w:p w14:paraId="50095160">
      <w:pPr>
        <w:pStyle w:val="21"/>
        <w:spacing w:before="156"/>
        <w:ind w:firstLine="0" w:firstLineChars="0"/>
        <w:jc w:val="center"/>
        <w:rPr>
          <w:rFonts w:hint="eastAsia" w:eastAsia="宋体"/>
          <w:b/>
          <w:bCs/>
          <w:lang w:eastAsia="zh-CN"/>
        </w:rPr>
      </w:pPr>
      <w:r>
        <w:rPr>
          <w:rFonts w:hint="eastAsia" w:eastAsia="宋体"/>
          <w:b/>
          <w:bCs/>
          <w:lang w:eastAsia="zh-CN"/>
        </w:rPr>
        <w:drawing>
          <wp:inline distT="0" distB="0" distL="114300" distR="114300">
            <wp:extent cx="5273040" cy="4481195"/>
            <wp:effectExtent l="0" t="0" r="3810" b="14605"/>
            <wp:docPr id="4" name="图片 4" descr="2025年8月跨境电商投诉十大典型案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5年8月跨境电商投诉十大典型案例"/>
                    <pic:cNvPicPr>
                      <a:picLocks noChangeAspect="1"/>
                    </pic:cNvPicPr>
                  </pic:nvPicPr>
                  <pic:blipFill>
                    <a:blip r:embed="rId20"/>
                    <a:stretch>
                      <a:fillRect/>
                    </a:stretch>
                  </pic:blipFill>
                  <pic:spPr>
                    <a:xfrm>
                      <a:off x="0" y="0"/>
                      <a:ext cx="5273040" cy="4481195"/>
                    </a:xfrm>
                    <a:prstGeom prst="rect">
                      <a:avLst/>
                    </a:prstGeom>
                  </pic:spPr>
                </pic:pic>
              </a:graphicData>
            </a:graphic>
          </wp:inline>
        </w:drawing>
      </w:r>
    </w:p>
    <w:p w14:paraId="0FAF065A">
      <w:pPr>
        <w:pStyle w:val="21"/>
        <w:spacing w:before="156"/>
        <w:ind w:firstLine="482"/>
        <w:jc w:val="left"/>
        <w:rPr>
          <w:rFonts w:hint="default"/>
          <w:b/>
          <w:bCs/>
        </w:rPr>
      </w:pPr>
      <w:r>
        <w:rPr>
          <w:b/>
          <w:bCs/>
        </w:rPr>
        <w:t>【案例</w:t>
      </w:r>
      <w:r>
        <w:rPr>
          <w:rFonts w:hint="eastAsia"/>
          <w:b/>
          <w:bCs/>
          <w:lang w:val="en-US" w:eastAsia="zh-CN"/>
        </w:rPr>
        <w:t>一</w:t>
      </w:r>
      <w:r>
        <w:rPr>
          <w:b/>
          <w:bCs/>
        </w:rPr>
        <w:t>】</w:t>
      </w:r>
      <w:r>
        <w:rPr>
          <w:rFonts w:hint="eastAsia"/>
          <w:b/>
          <w:bCs/>
          <w:lang w:val="en-US" w:eastAsia="zh-CN"/>
        </w:rPr>
        <w:t>寺</w:t>
      </w:r>
      <w:r>
        <w:rPr>
          <w:rFonts w:hint="eastAsia"/>
          <w:b/>
          <w:bCs/>
        </w:rPr>
        <w:t>库APP</w:t>
      </w:r>
      <w:r>
        <w:rPr>
          <w:rFonts w:hint="eastAsia"/>
          <w:b/>
          <w:bCs/>
          <w:lang w:val="en-US" w:eastAsia="zh-CN"/>
        </w:rPr>
        <w:t>被指</w:t>
      </w:r>
      <w:r>
        <w:rPr>
          <w:rFonts w:hint="eastAsia"/>
          <w:b/>
          <w:bCs/>
        </w:rPr>
        <w:t>逾期不发货不退款且客服失联</w:t>
      </w:r>
    </w:p>
    <w:p w14:paraId="70C954F0">
      <w:pPr>
        <w:pStyle w:val="21"/>
        <w:spacing w:before="156"/>
        <w:jc w:val="left"/>
        <w:rPr>
          <w:rFonts w:hint="default"/>
        </w:rPr>
      </w:pPr>
      <w:r>
        <w:rPr>
          <w:rFonts w:hint="eastAsia"/>
          <w:lang w:val="en-US" w:eastAsia="zh-CN"/>
        </w:rPr>
        <w:t>8</w:t>
      </w:r>
      <w:r>
        <w:rPr>
          <w:rFonts w:hint="default"/>
        </w:rPr>
        <w:t>月</w:t>
      </w:r>
      <w:r>
        <w:rPr>
          <w:rFonts w:hint="eastAsia"/>
          <w:lang w:val="en-US" w:eastAsia="zh-CN"/>
        </w:rPr>
        <w:t>28</w:t>
      </w:r>
      <w:r>
        <w:rPr>
          <w:rFonts w:hint="default"/>
        </w:rPr>
        <w:t>日，</w:t>
      </w:r>
      <w:r>
        <w:rPr>
          <w:rFonts w:hint="eastAsia"/>
          <w:lang w:val="en-US" w:eastAsia="zh-CN"/>
        </w:rPr>
        <w:t>浙江</w:t>
      </w:r>
      <w:r>
        <w:rPr>
          <w:rFonts w:hint="default"/>
        </w:rPr>
        <w:t>省</w:t>
      </w:r>
      <w:r>
        <w:rPr>
          <w:rFonts w:hint="eastAsia"/>
          <w:lang w:val="en-US" w:eastAsia="zh-CN"/>
        </w:rPr>
        <w:t>马先生</w:t>
      </w:r>
      <w:r>
        <w:rPr>
          <w:rFonts w:hint="default"/>
        </w:rPr>
        <w:t>向电诉宝投诉称其</w:t>
      </w:r>
      <w:r>
        <w:rPr>
          <w:rFonts w:hint="eastAsia"/>
          <w:lang w:val="en-US" w:eastAsia="zh-CN"/>
        </w:rPr>
        <w:t>于</w:t>
      </w:r>
      <w:r>
        <w:rPr>
          <w:rFonts w:hint="default"/>
        </w:rPr>
        <w:t>8月23日在</w:t>
      </w:r>
      <w:r>
        <w:rPr>
          <w:rFonts w:hint="eastAsia"/>
          <w:lang w:val="en-US" w:eastAsia="zh-CN"/>
        </w:rPr>
        <w:t>寺</w:t>
      </w:r>
      <w:r>
        <w:rPr>
          <w:rFonts w:hint="default"/>
        </w:rPr>
        <w:t>库APP购买商品，平台承诺五天内发货但未履行，用户申请退款后持续处于“审批中”状态。</w:t>
      </w:r>
    </w:p>
    <w:p w14:paraId="3D8DB8BD">
      <w:pPr>
        <w:pStyle w:val="21"/>
        <w:spacing w:before="156"/>
        <w:jc w:val="left"/>
        <w:rPr>
          <w:rFonts w:hint="eastAsia"/>
        </w:rPr>
      </w:pPr>
      <w:r>
        <w:rPr>
          <w:rFonts w:hint="default"/>
        </w:rPr>
        <w:t>平台存在不发货、不退款、客服电话通但不接听、在线客服敷衍拖延等问题，严重侵害消费者权益。用户要求平台三天内全额退款并整改售后服务机制。</w:t>
      </w:r>
    </w:p>
    <w:p w14:paraId="3E70654A">
      <w:pPr>
        <w:pStyle w:val="21"/>
        <w:spacing w:before="156"/>
        <w:ind w:firstLine="482"/>
        <w:jc w:val="left"/>
        <w:rPr>
          <w:rFonts w:hint="default"/>
          <w:b/>
          <w:bCs/>
        </w:rPr>
      </w:pPr>
      <w:r>
        <w:rPr>
          <w:b/>
          <w:bCs/>
        </w:rPr>
        <w:t>【案例二】</w:t>
      </w:r>
      <w:r>
        <w:rPr>
          <w:rFonts w:hint="eastAsia"/>
          <w:b/>
          <w:bCs/>
        </w:rPr>
        <w:t>用户投诉</w:t>
      </w:r>
      <w:r>
        <w:rPr>
          <w:rFonts w:hint="eastAsia"/>
          <w:b/>
          <w:bCs/>
          <w:lang w:eastAsia="zh-CN"/>
        </w:rPr>
        <w:t>“</w:t>
      </w:r>
      <w:r>
        <w:rPr>
          <w:rFonts w:hint="eastAsia"/>
          <w:b/>
          <w:bCs/>
        </w:rPr>
        <w:t>转运中国</w:t>
      </w:r>
      <w:r>
        <w:rPr>
          <w:rFonts w:hint="eastAsia"/>
          <w:b/>
          <w:bCs/>
          <w:lang w:eastAsia="zh-CN"/>
        </w:rPr>
        <w:t>”</w:t>
      </w:r>
      <w:r>
        <w:rPr>
          <w:rFonts w:hint="eastAsia"/>
          <w:b/>
          <w:bCs/>
        </w:rPr>
        <w:t>平台强收非本人货物仓储费</w:t>
      </w:r>
    </w:p>
    <w:p w14:paraId="6400EEA0">
      <w:pPr>
        <w:pStyle w:val="21"/>
        <w:spacing w:before="156"/>
        <w:ind w:firstLine="482"/>
        <w:jc w:val="left"/>
        <w:rPr>
          <w:rFonts w:hint="eastAsia"/>
        </w:rPr>
      </w:pPr>
      <w:r>
        <w:rPr>
          <w:rFonts w:hint="eastAsia"/>
          <w:lang w:val="en-US" w:eastAsia="zh-CN"/>
        </w:rPr>
        <w:t>8</w:t>
      </w:r>
      <w:r>
        <w:rPr>
          <w:rFonts w:hint="default"/>
        </w:rPr>
        <w:t>月</w:t>
      </w:r>
      <w:r>
        <w:rPr>
          <w:rFonts w:hint="eastAsia"/>
          <w:lang w:val="en-US" w:eastAsia="zh-CN"/>
        </w:rPr>
        <w:t>15</w:t>
      </w:r>
      <w:r>
        <w:rPr>
          <w:rFonts w:hint="default"/>
        </w:rPr>
        <w:t>日，</w:t>
      </w:r>
      <w:r>
        <w:rPr>
          <w:rFonts w:hint="eastAsia"/>
          <w:lang w:val="en-US" w:eastAsia="zh-CN"/>
        </w:rPr>
        <w:t>上海</w:t>
      </w:r>
      <w:r>
        <w:t>的</w:t>
      </w:r>
      <w:r>
        <w:rPr>
          <w:rFonts w:hint="eastAsia"/>
          <w:lang w:val="en-US" w:eastAsia="zh-CN"/>
        </w:rPr>
        <w:t>方先生</w:t>
      </w:r>
      <w:r>
        <w:t>向电诉宝投诉称</w:t>
      </w:r>
      <w:r>
        <w:rPr>
          <w:rFonts w:hint="eastAsia"/>
        </w:rPr>
        <w:t>其2024年仓库入库一件0.02kg未知物品（用户强调期间未购买任何商品且非本人包裹），2025年1月本人商品到库后，平台以“属于用户物品”为由强制将该未知物品与用户商品捆绑，并收取150元仓储费。用户质疑若系本人物品不可能拒绝免费合箱运输，指出平台未提供该物品来源凭证且存在安全隐患，要求退回不合理收费并彻查入库审核机制。</w:t>
      </w:r>
    </w:p>
    <w:p w14:paraId="1312E39C">
      <w:pPr>
        <w:pStyle w:val="21"/>
        <w:spacing w:before="156"/>
        <w:ind w:firstLine="482"/>
        <w:jc w:val="left"/>
        <w:rPr>
          <w:rFonts w:hint="default"/>
          <w:b/>
          <w:bCs/>
        </w:rPr>
      </w:pPr>
      <w:r>
        <w:rPr>
          <w:b/>
          <w:bCs/>
        </w:rPr>
        <w:t>【案例三】</w:t>
      </w:r>
      <w:r>
        <w:rPr>
          <w:rFonts w:hint="eastAsia"/>
          <w:b/>
          <w:bCs/>
        </w:rPr>
        <w:t>天猫国际</w:t>
      </w:r>
      <w:r>
        <w:rPr>
          <w:rFonts w:hint="eastAsia"/>
          <w:b/>
          <w:bCs/>
          <w:lang w:val="en-US" w:eastAsia="zh-CN"/>
        </w:rPr>
        <w:t>被指</w:t>
      </w:r>
      <w:r>
        <w:rPr>
          <w:rFonts w:hint="eastAsia"/>
          <w:b/>
          <w:bCs/>
        </w:rPr>
        <w:t>售假且平台维权机制失效</w:t>
      </w:r>
      <w:r>
        <w:rPr>
          <w:b/>
          <w:bCs/>
        </w:rPr>
        <w:t xml:space="preserve"> </w:t>
      </w:r>
    </w:p>
    <w:p w14:paraId="646D400B">
      <w:pPr>
        <w:pStyle w:val="21"/>
        <w:spacing w:before="156"/>
        <w:ind w:firstLine="482"/>
        <w:jc w:val="left"/>
        <w:rPr>
          <w:rFonts w:hint="default"/>
        </w:rPr>
      </w:pPr>
      <w:r>
        <w:rPr>
          <w:rFonts w:hint="eastAsia"/>
          <w:lang w:val="en-US" w:eastAsia="zh-CN"/>
        </w:rPr>
        <w:t>8</w:t>
      </w:r>
      <w:r>
        <w:rPr>
          <w:rFonts w:hint="default"/>
        </w:rPr>
        <w:t>月</w:t>
      </w:r>
      <w:r>
        <w:rPr>
          <w:rFonts w:hint="eastAsia"/>
          <w:lang w:val="en-US" w:eastAsia="zh-CN"/>
        </w:rPr>
        <w:t>17</w:t>
      </w:r>
      <w:r>
        <w:rPr>
          <w:rFonts w:hint="default"/>
        </w:rPr>
        <w:t>日，</w:t>
      </w:r>
      <w:r>
        <w:rPr>
          <w:rFonts w:hint="eastAsia"/>
          <w:lang w:val="en-US" w:eastAsia="zh-CN"/>
        </w:rPr>
        <w:t>广东</w:t>
      </w:r>
      <w:r>
        <w:rPr>
          <w:rFonts w:hint="default"/>
        </w:rPr>
        <w:t>省的</w:t>
      </w:r>
      <w:r>
        <w:rPr>
          <w:rFonts w:hint="eastAsia"/>
          <w:lang w:val="en-US" w:eastAsia="zh-CN"/>
        </w:rPr>
        <w:t>邓</w:t>
      </w:r>
      <w:r>
        <w:rPr>
          <w:rFonts w:hint="default"/>
        </w:rPr>
        <w:t>女士向电诉宝投诉称其8月6日在天猫国际“龙丰集团海外旗舰店”购买三盒“前列康丸”，到货实物为同名不同药的“前列康”（注册编号HKC-08519），二者成分、药理性及价格均不同。用户指出商家利用包装相似性误导消费，且商品已下架逃避追责。</w:t>
      </w:r>
    </w:p>
    <w:p w14:paraId="6A2DF413">
      <w:pPr>
        <w:pStyle w:val="21"/>
        <w:spacing w:before="156"/>
        <w:ind w:firstLine="482"/>
        <w:jc w:val="left"/>
        <w:rPr>
          <w:rFonts w:hint="default"/>
        </w:rPr>
      </w:pPr>
      <w:r>
        <w:rPr>
          <w:rFonts w:hint="default"/>
        </w:rPr>
        <w:t>天猫国际仅支持退货退款，反而要求用户承担运费并赔偿“影响二次销售”，所谓“假一赔十”形同虚设。用户质疑平台因注册地（香港）规避监管，导致维权无门，呼吁消费者警惕天猫国际售假风险。</w:t>
      </w:r>
    </w:p>
    <w:p w14:paraId="489AFBB3">
      <w:pPr>
        <w:pStyle w:val="21"/>
        <w:spacing w:before="156"/>
        <w:jc w:val="left"/>
        <w:rPr>
          <w:rFonts w:hint="eastAsia"/>
          <w:b/>
          <w:bCs/>
        </w:rPr>
      </w:pPr>
      <w:r>
        <w:rPr>
          <w:b/>
          <w:bCs/>
        </w:rPr>
        <w:t>【案例四】</w:t>
      </w:r>
      <w:r>
        <w:rPr>
          <w:rFonts w:hint="eastAsia"/>
          <w:b/>
          <w:bCs/>
        </w:rPr>
        <w:t>疑似虚假TikTok Shop电商平台欺诈致财产损失</w:t>
      </w:r>
    </w:p>
    <w:p w14:paraId="7CF76AD1">
      <w:pPr>
        <w:pStyle w:val="21"/>
        <w:spacing w:before="156"/>
        <w:jc w:val="left"/>
        <w:rPr>
          <w:rFonts w:hint="default"/>
        </w:rPr>
      </w:pPr>
      <w:r>
        <w:rPr>
          <w:rFonts w:hint="eastAsia"/>
          <w:lang w:val="en-US" w:eastAsia="zh-CN"/>
        </w:rPr>
        <w:t>8</w:t>
      </w:r>
      <w:r>
        <w:rPr>
          <w:rFonts w:hint="default"/>
        </w:rPr>
        <w:t>月</w:t>
      </w:r>
      <w:r>
        <w:rPr>
          <w:rFonts w:hint="eastAsia"/>
          <w:lang w:val="en-US" w:eastAsia="zh-CN"/>
        </w:rPr>
        <w:t>21</w:t>
      </w:r>
      <w:r>
        <w:rPr>
          <w:rFonts w:hint="default"/>
        </w:rPr>
        <w:t>日，</w:t>
      </w:r>
      <w:r>
        <w:rPr>
          <w:rFonts w:hint="eastAsia"/>
          <w:lang w:val="en-US" w:eastAsia="zh-CN"/>
        </w:rPr>
        <w:t>青海省</w:t>
      </w:r>
      <w:r>
        <w:rPr>
          <w:rFonts w:hint="default"/>
        </w:rPr>
        <w:t>的</w:t>
      </w:r>
      <w:r>
        <w:rPr>
          <w:rFonts w:hint="eastAsia"/>
          <w:lang w:val="en-US" w:eastAsia="zh-CN"/>
        </w:rPr>
        <w:t>马</w:t>
      </w:r>
      <w:r>
        <w:rPr>
          <w:rFonts w:hint="default"/>
        </w:rPr>
        <w:t>女士向电诉宝投诉称其称其通过微信群不明链接下载伪装成TikTok Shop的虚假电商平台，在所谓"指导老师"诱导下垫资进行商品采购及销售。初期虽获得小额回款，但第四日起平台即以各种理由拒绝发货、扣留订单回款并禁止提现，造成用户损失596.21美元。</w:t>
      </w:r>
    </w:p>
    <w:p w14:paraId="42421737">
      <w:pPr>
        <w:pStyle w:val="21"/>
        <w:spacing w:before="156"/>
        <w:jc w:val="left"/>
        <w:rPr>
          <w:rFonts w:hint="default"/>
        </w:rPr>
      </w:pPr>
      <w:r>
        <w:rPr>
          <w:rFonts w:hint="default"/>
        </w:rPr>
        <w:t>用户指出该平台涉嫌伪造界面、刻意模仿正规平台，且在无书面通知情况下非法冻结资金，已保留聊天记录、交易截图等证据，要求相关部门介入追回资金并彻查该欺诈行为。</w:t>
      </w:r>
    </w:p>
    <w:p w14:paraId="7C7E1617">
      <w:pPr>
        <w:pStyle w:val="21"/>
        <w:spacing w:before="156"/>
        <w:ind w:firstLine="482"/>
        <w:jc w:val="left"/>
        <w:rPr>
          <w:rStyle w:val="14"/>
          <w:rFonts w:hint="default"/>
        </w:rPr>
      </w:pPr>
      <w:r>
        <w:rPr>
          <w:rStyle w:val="14"/>
        </w:rPr>
        <w:t>【</w:t>
      </w:r>
      <w:r>
        <w:rPr>
          <w:rStyle w:val="14"/>
          <w:bCs/>
        </w:rPr>
        <w:t>案例</w:t>
      </w:r>
      <w:r>
        <w:rPr>
          <w:rStyle w:val="14"/>
          <w:rFonts w:hint="eastAsia"/>
          <w:lang w:val="en-US" w:eastAsia="zh-CN"/>
        </w:rPr>
        <w:t>五</w:t>
      </w:r>
      <w:r>
        <w:rPr>
          <w:rStyle w:val="14"/>
        </w:rPr>
        <w:t>】</w:t>
      </w:r>
      <w:r>
        <w:rPr>
          <w:rStyle w:val="14"/>
          <w:rFonts w:hint="eastAsia"/>
        </w:rPr>
        <w:t>海淘免税店</w:t>
      </w:r>
      <w:r>
        <w:rPr>
          <w:rStyle w:val="14"/>
          <w:rFonts w:hint="eastAsia"/>
          <w:lang w:val="en-US" w:eastAsia="zh-CN"/>
        </w:rPr>
        <w:t>被指</w:t>
      </w:r>
      <w:r>
        <w:rPr>
          <w:rStyle w:val="14"/>
          <w:rFonts w:hint="eastAsia"/>
        </w:rPr>
        <w:t>销售假鞋且拒绝履行赔承诺</w:t>
      </w:r>
    </w:p>
    <w:p w14:paraId="0F77285D">
      <w:pPr>
        <w:pStyle w:val="21"/>
        <w:spacing w:before="156"/>
        <w:ind w:firstLine="482"/>
        <w:jc w:val="left"/>
        <w:rPr>
          <w:rFonts w:hint="eastAsia"/>
        </w:rPr>
      </w:pPr>
      <w:r>
        <w:rPr>
          <w:rFonts w:hint="eastAsia"/>
          <w:lang w:val="en-US" w:eastAsia="zh-CN"/>
        </w:rPr>
        <w:t>8</w:t>
      </w:r>
      <w:r>
        <w:t>月</w:t>
      </w:r>
      <w:r>
        <w:rPr>
          <w:rFonts w:hint="eastAsia"/>
          <w:lang w:val="en-US" w:eastAsia="zh-CN"/>
        </w:rPr>
        <w:t>4</w:t>
      </w:r>
      <w:r>
        <w:t>日，</w:t>
      </w:r>
      <w:r>
        <w:rPr>
          <w:rFonts w:hint="eastAsia"/>
          <w:lang w:val="en-US" w:eastAsia="zh-CN"/>
        </w:rPr>
        <w:t>安徽</w:t>
      </w:r>
      <w:r>
        <w:t>省的</w:t>
      </w:r>
      <w:r>
        <w:rPr>
          <w:rFonts w:hint="eastAsia"/>
          <w:lang w:val="en-US" w:eastAsia="zh-CN"/>
        </w:rPr>
        <w:t>赵女士</w:t>
      </w:r>
      <w:r>
        <w:t>向电诉宝投诉</w:t>
      </w:r>
      <w:r>
        <w:rPr>
          <w:rFonts w:hint="eastAsia"/>
        </w:rPr>
        <w:t>称</w:t>
      </w:r>
      <w:r>
        <w:rPr>
          <w:rFonts w:hint="eastAsia"/>
          <w:lang w:val="en-US" w:eastAsia="zh-CN"/>
        </w:rPr>
        <w:t>于</w:t>
      </w:r>
      <w:r>
        <w:rPr>
          <w:rFonts w:hint="eastAsia"/>
        </w:rPr>
        <w:t>4月30日在该平台以439元购买板鞋，商家承诺“百分百正品”但到货后实物做工粗糙，经第三方平台鉴定为假货。商家拒不承认鉴定结果且拖延处理，拒绝履行假一赔三的法律责任。</w:t>
      </w:r>
    </w:p>
    <w:p w14:paraId="333D5072">
      <w:pPr>
        <w:pStyle w:val="21"/>
        <w:spacing w:before="156"/>
        <w:jc w:val="left"/>
        <w:rPr>
          <w:rFonts w:hint="default"/>
        </w:rPr>
      </w:pPr>
      <w:r>
        <w:rPr>
          <w:rFonts w:hint="eastAsia"/>
        </w:rPr>
        <w:t>用户要求平台严查商家售假行为，退还货款并依法进行三倍赔偿，同时呼吁整顿该APP商品质量监管体系。</w:t>
      </w:r>
    </w:p>
    <w:p w14:paraId="5752C282">
      <w:pPr>
        <w:pStyle w:val="21"/>
        <w:spacing w:before="156"/>
        <w:ind w:firstLine="482"/>
        <w:jc w:val="left"/>
        <w:rPr>
          <w:rFonts w:hint="default"/>
          <w:b/>
          <w:bCs/>
        </w:rPr>
      </w:pPr>
      <w:r>
        <w:rPr>
          <w:b/>
          <w:bCs/>
        </w:rPr>
        <w:t>【案例六】</w:t>
      </w:r>
      <w:r>
        <w:rPr>
          <w:rFonts w:hint="eastAsia"/>
          <w:b/>
          <w:bCs/>
        </w:rPr>
        <w:t>亚马逊平台</w:t>
      </w:r>
      <w:r>
        <w:rPr>
          <w:rFonts w:hint="eastAsia"/>
          <w:b/>
          <w:bCs/>
          <w:lang w:val="en-US" w:eastAsia="zh-CN"/>
        </w:rPr>
        <w:t>被指</w:t>
      </w:r>
      <w:r>
        <w:rPr>
          <w:rFonts w:hint="eastAsia"/>
          <w:b/>
          <w:bCs/>
        </w:rPr>
        <w:t>引导支付大额尾款后要求退款</w:t>
      </w:r>
    </w:p>
    <w:p w14:paraId="6008C32D">
      <w:pPr>
        <w:pStyle w:val="21"/>
        <w:spacing w:before="156"/>
        <w:jc w:val="left"/>
        <w:rPr>
          <w:rFonts w:hint="default"/>
        </w:rPr>
      </w:pPr>
      <w:r>
        <w:rPr>
          <w:rFonts w:hint="eastAsia"/>
          <w:lang w:val="en-US" w:eastAsia="zh-CN"/>
        </w:rPr>
        <w:t>8</w:t>
      </w:r>
      <w:r>
        <w:rPr>
          <w:rFonts w:hint="default"/>
        </w:rPr>
        <w:t>月</w:t>
      </w:r>
      <w:r>
        <w:rPr>
          <w:rFonts w:hint="eastAsia"/>
          <w:lang w:val="en-US" w:eastAsia="zh-CN"/>
        </w:rPr>
        <w:t>28</w:t>
      </w:r>
      <w:r>
        <w:rPr>
          <w:rFonts w:hint="default"/>
        </w:rPr>
        <w:t>日，</w:t>
      </w:r>
      <w:r>
        <w:rPr>
          <w:rFonts w:hint="eastAsia"/>
          <w:lang w:val="en-US" w:eastAsia="zh-CN"/>
        </w:rPr>
        <w:t>浙江</w:t>
      </w:r>
      <w:r>
        <w:rPr>
          <w:rFonts w:hint="default"/>
        </w:rPr>
        <w:t>省的</w:t>
      </w:r>
      <w:r>
        <w:rPr>
          <w:rFonts w:hint="eastAsia"/>
          <w:lang w:val="en-US" w:eastAsia="zh-CN"/>
        </w:rPr>
        <w:t>邵</w:t>
      </w:r>
      <w:r>
        <w:rPr>
          <w:rFonts w:hint="default"/>
        </w:rPr>
        <w:t>女士向电诉宝投诉称其</w:t>
      </w:r>
      <w:r>
        <w:rPr>
          <w:rFonts w:hint="eastAsia"/>
          <w:lang w:val="en-US" w:eastAsia="zh-CN"/>
        </w:rPr>
        <w:t>于</w:t>
      </w:r>
      <w:r>
        <w:rPr>
          <w:rFonts w:hint="default"/>
        </w:rPr>
        <w:t>8月27日在亚马逊平台被引导支付一笔包包尾款，金额达25000元，现因对交易存在异议或未收到对应商品等原因，要求平台全额退款。用户未透露具体细节，但明确指出该笔支付系平台引导所致，并已提出退款诉求。</w:t>
      </w:r>
    </w:p>
    <w:p w14:paraId="55003FB3">
      <w:pPr>
        <w:pStyle w:val="21"/>
        <w:spacing w:before="156"/>
        <w:ind w:firstLine="482"/>
        <w:jc w:val="left"/>
        <w:rPr>
          <w:rFonts w:hint="default"/>
          <w:b/>
          <w:bCs/>
        </w:rPr>
      </w:pPr>
      <w:bookmarkStart w:id="21" w:name="OLE_LINK1"/>
      <w:r>
        <w:rPr>
          <w:b/>
          <w:bCs/>
        </w:rPr>
        <w:t>【案例七】</w:t>
      </w:r>
      <w:bookmarkEnd w:id="21"/>
      <w:r>
        <w:rPr>
          <w:rFonts w:hint="eastAsia"/>
          <w:b/>
          <w:bCs/>
        </w:rPr>
        <w:t>中免日上</w:t>
      </w:r>
      <w:r>
        <w:rPr>
          <w:rFonts w:hint="eastAsia"/>
          <w:b/>
          <w:bCs/>
          <w:lang w:val="en-US" w:eastAsia="zh-CN"/>
        </w:rPr>
        <w:t>被指</w:t>
      </w:r>
      <w:r>
        <w:rPr>
          <w:rFonts w:hint="eastAsia"/>
          <w:b/>
          <w:bCs/>
        </w:rPr>
        <w:t>小程序地址修改机制不合理且收取拦截费</w:t>
      </w:r>
    </w:p>
    <w:p w14:paraId="03D72F2A">
      <w:pPr>
        <w:pStyle w:val="21"/>
        <w:spacing w:before="156"/>
        <w:jc w:val="left"/>
        <w:rPr>
          <w:rFonts w:hint="default"/>
        </w:rPr>
      </w:pPr>
      <w:r>
        <w:rPr>
          <w:rFonts w:hint="eastAsia"/>
          <w:lang w:val="en-US" w:eastAsia="zh-CN"/>
        </w:rPr>
        <w:t>8</w:t>
      </w:r>
      <w:r>
        <w:rPr>
          <w:rFonts w:hint="default"/>
        </w:rPr>
        <w:t>月2</w:t>
      </w:r>
      <w:r>
        <w:rPr>
          <w:rFonts w:hint="eastAsia"/>
          <w:lang w:val="en-US" w:eastAsia="zh-CN"/>
        </w:rPr>
        <w:t>5</w:t>
      </w:r>
      <w:r>
        <w:rPr>
          <w:rFonts w:hint="default"/>
        </w:rPr>
        <w:t>日，</w:t>
      </w:r>
      <w:r>
        <w:rPr>
          <w:rFonts w:hint="eastAsia"/>
          <w:lang w:val="en-US" w:eastAsia="zh-CN"/>
        </w:rPr>
        <w:t>福建省</w:t>
      </w:r>
      <w:r>
        <w:rPr>
          <w:rFonts w:hint="default"/>
        </w:rPr>
        <w:t>的</w:t>
      </w:r>
      <w:r>
        <w:rPr>
          <w:rFonts w:hint="eastAsia"/>
          <w:lang w:val="en-US" w:eastAsia="zh-CN"/>
        </w:rPr>
        <w:t>江</w:t>
      </w:r>
      <w:r>
        <w:rPr>
          <w:rFonts w:hint="default"/>
        </w:rPr>
        <w:t>女士向电诉宝投诉称其</w:t>
      </w:r>
      <w:r>
        <w:rPr>
          <w:rFonts w:hint="eastAsia"/>
          <w:lang w:val="en-US" w:eastAsia="zh-CN"/>
        </w:rPr>
        <w:t>于</w:t>
      </w:r>
      <w:r>
        <w:rPr>
          <w:rFonts w:hint="default"/>
        </w:rPr>
        <w:t>8月24日11时许在小程序下单购买阿玛尼口红后，因填错地址尝试修改（客服已下班仅能留言），次日被告知需发货后才能改地址且需收费。用户申请仅退款后，平台虽免除拦截费但仍坚持改地址需付费，理由为“配送地点不同”。</w:t>
      </w:r>
    </w:p>
    <w:p w14:paraId="6107CF0E">
      <w:pPr>
        <w:pStyle w:val="21"/>
        <w:spacing w:before="156"/>
        <w:jc w:val="left"/>
        <w:rPr>
          <w:rFonts w:hint="default"/>
        </w:rPr>
      </w:pPr>
      <w:r>
        <w:rPr>
          <w:rFonts w:hint="default"/>
        </w:rPr>
        <w:t>用户质疑其满200包邮的订单为何改地址需额外收费，并指出拦截责任不在消费者，呼吁平台优化地址修改权限机制，给予容错空间，改善售后体验。</w:t>
      </w:r>
    </w:p>
    <w:p w14:paraId="3814B291">
      <w:pPr>
        <w:pStyle w:val="21"/>
        <w:spacing w:before="156"/>
        <w:ind w:firstLine="482"/>
        <w:jc w:val="left"/>
        <w:rPr>
          <w:rFonts w:hint="default"/>
          <w:b/>
          <w:bCs/>
        </w:rPr>
      </w:pPr>
      <w:r>
        <w:rPr>
          <w:b/>
          <w:bCs/>
        </w:rPr>
        <w:t>【案例八】</w:t>
      </w:r>
      <w:r>
        <w:rPr>
          <w:rFonts w:hint="eastAsia"/>
          <w:b/>
          <w:bCs/>
        </w:rPr>
        <w:t>洋码头平台</w:t>
      </w:r>
      <w:r>
        <w:rPr>
          <w:rFonts w:hint="eastAsia"/>
          <w:b/>
          <w:bCs/>
          <w:lang w:val="en-US" w:eastAsia="zh-CN"/>
        </w:rPr>
        <w:t>被指</w:t>
      </w:r>
      <w:r>
        <w:rPr>
          <w:rFonts w:hint="eastAsia"/>
          <w:b/>
          <w:bCs/>
        </w:rPr>
        <w:t>交易完成未收货</w:t>
      </w:r>
    </w:p>
    <w:p w14:paraId="688EC8CE">
      <w:pPr>
        <w:pStyle w:val="21"/>
        <w:spacing w:before="156"/>
        <w:ind w:firstLine="482"/>
        <w:jc w:val="left"/>
        <w:rPr>
          <w:rFonts w:hint="default"/>
        </w:rPr>
      </w:pPr>
      <w:r>
        <w:rPr>
          <w:rFonts w:hint="eastAsia"/>
          <w:lang w:val="en-US" w:eastAsia="zh-CN"/>
        </w:rPr>
        <w:t>8</w:t>
      </w:r>
      <w:r>
        <w:rPr>
          <w:rFonts w:hint="default"/>
        </w:rPr>
        <w:t>月</w:t>
      </w:r>
      <w:r>
        <w:rPr>
          <w:rFonts w:hint="eastAsia"/>
          <w:lang w:val="en-US" w:eastAsia="zh-CN"/>
        </w:rPr>
        <w:t>15</w:t>
      </w:r>
      <w:r>
        <w:rPr>
          <w:rFonts w:hint="default"/>
        </w:rPr>
        <w:t>日，</w:t>
      </w:r>
      <w:r>
        <w:rPr>
          <w:rFonts w:hint="eastAsia"/>
          <w:lang w:val="en-US" w:eastAsia="zh-CN"/>
        </w:rPr>
        <w:t>四川省的范先生</w:t>
      </w:r>
      <w:r>
        <w:rPr>
          <w:rFonts w:hint="default"/>
        </w:rPr>
        <w:t>向电诉宝投诉称其于2023年2月4日在洋码头平台支付5980元购买女士挎包，平台显示2023年5月1日交易完成，但用户至今未收到商品。</w:t>
      </w:r>
    </w:p>
    <w:p w14:paraId="52AAEFC1">
      <w:pPr>
        <w:pStyle w:val="21"/>
        <w:spacing w:before="156"/>
        <w:ind w:firstLine="482"/>
        <w:jc w:val="left"/>
        <w:rPr>
          <w:rFonts w:hint="default"/>
        </w:rPr>
      </w:pPr>
      <w:r>
        <w:rPr>
          <w:rFonts w:hint="default"/>
        </w:rPr>
        <w:t>多次联系平台客服均未解决，质疑平台纵容商家欺诈或存在内部管理漏洞，要求平台追查货物下落或全额退款。</w:t>
      </w:r>
    </w:p>
    <w:p w14:paraId="16E82111">
      <w:pPr>
        <w:pStyle w:val="21"/>
        <w:spacing w:before="156"/>
        <w:jc w:val="left"/>
        <w:rPr>
          <w:rFonts w:hint="eastAsia"/>
          <w:b/>
          <w:bCs/>
        </w:rPr>
      </w:pPr>
      <w:r>
        <w:rPr>
          <w:b/>
          <w:bCs/>
        </w:rPr>
        <w:t>【案例九】</w:t>
      </w:r>
      <w:r>
        <w:rPr>
          <w:rFonts w:hint="eastAsia"/>
          <w:b/>
          <w:bCs/>
        </w:rPr>
        <w:t>天猫</w:t>
      </w:r>
      <w:r>
        <w:rPr>
          <w:rFonts w:hint="eastAsia"/>
          <w:b/>
          <w:bCs/>
          <w:lang w:val="en-US" w:eastAsia="zh-CN"/>
        </w:rPr>
        <w:t>被指</w:t>
      </w:r>
      <w:r>
        <w:rPr>
          <w:rFonts w:hint="eastAsia"/>
          <w:b/>
          <w:bCs/>
        </w:rPr>
        <w:t>销售变质食品致中毒且平台拒不担责</w:t>
      </w:r>
    </w:p>
    <w:p w14:paraId="0630CC54">
      <w:pPr>
        <w:pStyle w:val="21"/>
        <w:spacing w:before="156"/>
        <w:jc w:val="left"/>
        <w:rPr>
          <w:rFonts w:hint="eastAsia"/>
        </w:rPr>
      </w:pPr>
      <w:r>
        <w:rPr>
          <w:rFonts w:hint="eastAsia"/>
          <w:lang w:val="en-US" w:eastAsia="zh-CN"/>
        </w:rPr>
        <w:t>8</w:t>
      </w:r>
      <w:r>
        <w:rPr>
          <w:rFonts w:hint="default"/>
        </w:rPr>
        <w:t>月</w:t>
      </w:r>
      <w:r>
        <w:rPr>
          <w:rFonts w:hint="eastAsia"/>
          <w:lang w:val="en-US" w:eastAsia="zh-CN"/>
        </w:rPr>
        <w:t>8</w:t>
      </w:r>
      <w:r>
        <w:rPr>
          <w:rFonts w:hint="default"/>
        </w:rPr>
        <w:t>日，</w:t>
      </w:r>
      <w:r>
        <w:rPr>
          <w:rFonts w:hint="eastAsia"/>
          <w:lang w:val="en-US" w:eastAsia="zh-CN"/>
        </w:rPr>
        <w:t>福建</w:t>
      </w:r>
      <w:r>
        <w:rPr>
          <w:rFonts w:hint="default"/>
        </w:rPr>
        <w:t>省</w:t>
      </w:r>
      <w:r>
        <w:rPr>
          <w:rFonts w:hint="eastAsia"/>
          <w:lang w:val="en-US" w:eastAsia="zh-CN"/>
        </w:rPr>
        <w:t>陈女士</w:t>
      </w:r>
      <w:r>
        <w:rPr>
          <w:rFonts w:hint="default"/>
        </w:rPr>
        <w:t>先生向电诉宝投诉称</w:t>
      </w:r>
      <w:r>
        <w:rPr>
          <w:rFonts w:hint="eastAsia"/>
          <w:lang w:val="en-US" w:eastAsia="zh-CN"/>
        </w:rPr>
        <w:t>其于</w:t>
      </w:r>
      <w:r>
        <w:rPr>
          <w:rFonts w:hint="eastAsia"/>
        </w:rPr>
        <w:t>6月22日在天猫“</w:t>
      </w:r>
      <w:r>
        <w:rPr>
          <w:rFonts w:hint="eastAsia"/>
          <w:lang w:val="en-US" w:eastAsia="zh-CN"/>
        </w:rPr>
        <w:t>某</w:t>
      </w:r>
      <w:r>
        <w:rPr>
          <w:rFonts w:hint="eastAsia"/>
        </w:rPr>
        <w:t>健康海外专营店”购买2974.6元减肥饮品，服用近三盒后不仅无效，还出现头痛、头晕、上火等副作用。8月6日发现饮品中含虫类异物及沉淀物，用户服用后发生急性食物中毒（呕吐、腹泻、发烧），就医诊断为肠炎。商家此前承诺的“160天超长售后”未履行且失联，平台仅同意退还未开封4盒货款。</w:t>
      </w:r>
    </w:p>
    <w:p w14:paraId="4E2A4D79">
      <w:pPr>
        <w:pStyle w:val="21"/>
        <w:spacing w:before="156"/>
        <w:jc w:val="left"/>
        <w:rPr>
          <w:rFonts w:hint="default"/>
        </w:rPr>
      </w:pPr>
      <w:r>
        <w:rPr>
          <w:rFonts w:hint="eastAsia"/>
        </w:rPr>
        <w:t>用户依据《食品安全法》第148条要求商家提供海关申报单及物流凭证，并主张十倍赔偿（最低三倍8923.8元），同时指控商家下架原商品刷好评重新上架的行为涉嫌欺诈。</w:t>
      </w:r>
    </w:p>
    <w:p w14:paraId="4F63597E">
      <w:pPr>
        <w:pStyle w:val="21"/>
        <w:spacing w:before="156"/>
        <w:ind w:firstLine="482"/>
        <w:jc w:val="left"/>
        <w:rPr>
          <w:rFonts w:hint="default"/>
          <w:b/>
          <w:bCs/>
        </w:rPr>
      </w:pPr>
      <w:r>
        <w:rPr>
          <w:b/>
          <w:bCs/>
        </w:rPr>
        <w:t>【案例十】</w:t>
      </w:r>
      <w:r>
        <w:rPr>
          <w:rFonts w:hint="eastAsia"/>
          <w:b/>
          <w:bCs/>
        </w:rPr>
        <w:t>识季平台</w:t>
      </w:r>
      <w:r>
        <w:rPr>
          <w:rFonts w:hint="eastAsia"/>
          <w:b/>
          <w:bCs/>
          <w:lang w:val="en-US" w:eastAsia="zh-CN"/>
        </w:rPr>
        <w:t>被指</w:t>
      </w:r>
      <w:r>
        <w:rPr>
          <w:rFonts w:hint="eastAsia"/>
          <w:b/>
          <w:bCs/>
        </w:rPr>
        <w:t>无视取消订单要求涉嫌强买强卖</w:t>
      </w:r>
    </w:p>
    <w:p w14:paraId="11D267E5">
      <w:pPr>
        <w:pStyle w:val="21"/>
        <w:spacing w:before="156"/>
        <w:jc w:val="left"/>
        <w:rPr>
          <w:rFonts w:hint="default"/>
        </w:rPr>
      </w:pPr>
      <w:r>
        <w:rPr>
          <w:rFonts w:hint="eastAsia"/>
          <w:lang w:val="en-US" w:eastAsia="zh-CN"/>
        </w:rPr>
        <w:t>8</w:t>
      </w:r>
      <w:r>
        <w:rPr>
          <w:rFonts w:hint="default"/>
        </w:rPr>
        <w:t>月</w:t>
      </w:r>
      <w:r>
        <w:rPr>
          <w:rFonts w:hint="eastAsia"/>
          <w:lang w:val="en-US" w:eastAsia="zh-CN"/>
        </w:rPr>
        <w:t>13</w:t>
      </w:r>
      <w:r>
        <w:rPr>
          <w:rFonts w:hint="default"/>
        </w:rPr>
        <w:t>日，</w:t>
      </w:r>
      <w:r>
        <w:rPr>
          <w:rFonts w:hint="eastAsia"/>
          <w:lang w:val="en-US" w:eastAsia="zh-CN"/>
        </w:rPr>
        <w:t>山东</w:t>
      </w:r>
      <w:r>
        <w:rPr>
          <w:rFonts w:hint="default"/>
        </w:rPr>
        <w:t>省的陈女士向电诉宝投诉称其7月27日晚购买YSL包包（金额13066元），28日凌晨立即联系客服要求取消订单并停止发货，但客服以“需按内部流程完成验货”为由拒绝。</w:t>
      </w:r>
    </w:p>
    <w:p w14:paraId="421A1F38">
      <w:pPr>
        <w:pStyle w:val="21"/>
        <w:spacing w:before="156"/>
        <w:jc w:val="left"/>
        <w:rPr>
          <w:rFonts w:hint="default"/>
        </w:rPr>
      </w:pPr>
      <w:r>
        <w:rPr>
          <w:rFonts w:hint="default"/>
        </w:rPr>
        <w:t>用户多次强调无需质检且无需发货，平台仍执意完成验货并发出商品，用户指责平台故意规避消费者取消订单的合法权利，侵害消费者自主选择权，要求平台承担退货运费及相应责任。</w:t>
      </w:r>
    </w:p>
    <w:p w14:paraId="5E4E7D93">
      <w:pPr>
        <w:pStyle w:val="2"/>
        <w:spacing w:line="360" w:lineRule="auto"/>
        <w:jc w:val="left"/>
        <w:rPr>
          <w:rFonts w:ascii="微软雅黑" w:hAnsi="微软雅黑" w:eastAsia="微软雅黑" w:cs="微软雅黑"/>
          <w:sz w:val="32"/>
          <w:szCs w:val="32"/>
        </w:rPr>
      </w:pPr>
      <w:bookmarkStart w:id="22" w:name="_Toc23431"/>
      <w:r>
        <w:rPr>
          <w:rFonts w:hint="eastAsia" w:ascii="微软雅黑" w:hAnsi="微软雅黑" w:eastAsia="微软雅黑" w:cs="微软雅黑"/>
          <w:sz w:val="32"/>
          <w:szCs w:val="32"/>
        </w:rPr>
        <w:t>四、关于我们</w:t>
      </w:r>
      <w:bookmarkEnd w:id="22"/>
    </w:p>
    <w:p w14:paraId="043464EB">
      <w:pPr>
        <w:pStyle w:val="20"/>
        <w:numPr>
          <w:ilvl w:val="0"/>
          <w:numId w:val="1"/>
        </w:numPr>
        <w:spacing w:line="360" w:lineRule="auto"/>
        <w:jc w:val="left"/>
        <w:rPr>
          <w:rFonts w:hint="default"/>
        </w:rPr>
      </w:pPr>
      <w:bookmarkStart w:id="23" w:name="_Toc3082"/>
      <w:r>
        <w:t>关于电诉宝</w:t>
      </w:r>
      <w:bookmarkEnd w:id="23"/>
    </w:p>
    <w:p w14:paraId="69105027">
      <w:pPr>
        <w:spacing w:before="156" w:beforeLines="50" w:after="156" w:afterLines="50" w:line="360" w:lineRule="auto"/>
        <w:ind w:firstLine="480" w:firstLineChars="200"/>
        <w:jc w:val="left"/>
      </w:pPr>
      <w:r>
        <w:rPr>
          <w:rFonts w:hint="eastAsia" w:ascii="宋体" w:hAnsi="宋体" w:eastAsia="宋体" w:cs="宋体"/>
          <w:sz w:val="24"/>
        </w:rPr>
        <w:t>国内知名网络消费纠纷调解平台“电诉宝”（315.100EC.CN）运行10余年来，与全国近千家网络消费平台建立对接，影响1亿+网络消费用户，新系统实现一键投诉、24h在线、自助维权、同步直达、实时处理、进度查询、评价体系、法律求助、大数据分析等诸多功能。目前，平台“绿色通道”服务向广大网络消费平台开放，各平台可自主申请入驻，实时受理、反馈和查询用户满意度评价。为了更好地营造公开、透明、健康的网络消费投诉环境，“电诉宝”公开版已正式上线，新增用户投诉实时受理动态、月度平台投诉量TOP10、热点投诉地区、投诉榜（依据投诉量排行）等模块，让投诉过程透明化，一手掌握信息动态。</w:t>
      </w:r>
    </w:p>
    <w:p w14:paraId="31DFDEA1">
      <w:pPr>
        <w:spacing w:before="156" w:beforeLines="50" w:after="156" w:afterLines="50" w:line="360" w:lineRule="auto"/>
        <w:ind w:firstLine="480" w:firstLineChars="200"/>
        <w:jc w:val="left"/>
        <w:rPr>
          <w:rFonts w:asciiTheme="minorEastAsia" w:hAnsiTheme="minorEastAsia" w:cstheme="minorEastAsia"/>
          <w:sz w:val="24"/>
        </w:rPr>
      </w:pPr>
      <w:r>
        <w:rPr>
          <w:rFonts w:hint="eastAsia" w:asciiTheme="minorEastAsia" w:hAnsiTheme="minorEastAsia" w:cstheme="minorEastAsia"/>
          <w:sz w:val="24"/>
        </w:rPr>
        <w:t xml:space="preserve">根据平台受理的客诉“大数据”和真实案例，每月度、季度、半年度、年度公开发布客观用户体验报告和相关榜单，已连续十余年发布，被业内视为“电商315风向标”，被全国广大用户、企业、媒体、政府所认可和引用。 </w:t>
      </w:r>
    </w:p>
    <w:p w14:paraId="746CA6FE">
      <w:pPr>
        <w:pStyle w:val="21"/>
        <w:spacing w:before="156"/>
        <w:jc w:val="left"/>
        <w:rPr>
          <w:rFonts w:hint="default"/>
        </w:rPr>
      </w:pPr>
      <w:r>
        <w:t>新平台于2018年315前夕正式上线运行。新系统实现“一键投诉”、24h在线、自助维权、同步直达、实时处理、进度查询、满意度评价、律师坐堂法律求助，还有大数据分析功能，真正实现了“天天315”，成为千千万万电商用户的“网购维权神器”。</w:t>
      </w:r>
    </w:p>
    <w:p w14:paraId="230CCDAF">
      <w:pPr>
        <w:spacing w:before="156" w:beforeLines="50" w:after="156" w:afterLines="50" w:line="360" w:lineRule="auto"/>
        <w:ind w:firstLine="480" w:firstLineChars="200"/>
        <w:jc w:val="left"/>
        <w:rPr>
          <w:rFonts w:asciiTheme="minorEastAsia" w:hAnsiTheme="minorEastAsia" w:cstheme="minorEastAsia"/>
          <w:sz w:val="24"/>
        </w:rPr>
      </w:pPr>
      <w:r>
        <w:rPr>
          <w:rFonts w:hint="eastAsia" w:asciiTheme="minorEastAsia" w:hAnsiTheme="minorEastAsia" w:cstheme="minorEastAsia"/>
          <w:sz w:val="24"/>
        </w:rPr>
        <w:t>此外，为了更好帮助电商平台更好的处理投诉。平台“绿色通道”服务向广大电商平台开放，电商可自主申请入驻，实时受理、反馈和查询用户满意度评价。</w:t>
      </w:r>
    </w:p>
    <w:p w14:paraId="074F5CAE">
      <w:pPr>
        <w:spacing w:before="156" w:beforeLines="50" w:after="156" w:afterLines="50" w:line="360" w:lineRule="auto"/>
        <w:ind w:firstLine="420" w:firstLineChars="200"/>
        <w:jc w:val="left"/>
      </w:pPr>
      <w:r>
        <w:drawing>
          <wp:inline distT="0" distB="0" distL="0" distR="0">
            <wp:extent cx="3735070" cy="3643630"/>
            <wp:effectExtent l="0" t="0" r="0" b="0"/>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21"/>
                    <a:stretch>
                      <a:fillRect/>
                    </a:stretch>
                  </pic:blipFill>
                  <pic:spPr>
                    <a:xfrm>
                      <a:off x="0" y="0"/>
                      <a:ext cx="3736624" cy="3645024"/>
                    </a:xfrm>
                    <a:prstGeom prst="rect">
                      <a:avLst/>
                    </a:prstGeom>
                  </pic:spPr>
                </pic:pic>
              </a:graphicData>
            </a:graphic>
          </wp:inline>
        </w:drawing>
      </w:r>
    </w:p>
    <w:p w14:paraId="3D8ECE7D">
      <w:pPr>
        <w:spacing w:before="156" w:beforeLines="50" w:after="156" w:afterLines="50" w:line="360" w:lineRule="auto"/>
        <w:ind w:firstLine="480" w:firstLineChars="200"/>
        <w:jc w:val="left"/>
        <w:rPr>
          <w:rFonts w:ascii="宋体" w:hAnsi="宋体" w:eastAsia="宋体" w:cs="宋体"/>
          <w:sz w:val="24"/>
        </w:rPr>
      </w:pPr>
      <w:r>
        <w:rPr>
          <w:rFonts w:ascii="宋体" w:hAnsi="宋体" w:eastAsia="宋体" w:cs="宋体"/>
          <w:sz w:val="24"/>
        </w:rPr>
        <w:t>为了更好地营造公开、透明、健康的电商消费投诉环境，</w:t>
      </w:r>
      <w:r>
        <w:rPr>
          <w:rFonts w:hint="eastAsia" w:ascii="宋体" w:hAnsi="宋体" w:eastAsia="宋体" w:cs="宋体"/>
          <w:sz w:val="24"/>
        </w:rPr>
        <w:t>“</w:t>
      </w:r>
      <w:r>
        <w:rPr>
          <w:rFonts w:ascii="宋体" w:hAnsi="宋体" w:eastAsia="宋体" w:cs="宋体"/>
          <w:sz w:val="24"/>
        </w:rPr>
        <w:t>电诉宝</w:t>
      </w:r>
      <w:r>
        <w:rPr>
          <w:rFonts w:hint="eastAsia" w:ascii="宋体" w:hAnsi="宋体" w:eastAsia="宋体" w:cs="宋体"/>
          <w:sz w:val="24"/>
        </w:rPr>
        <w:t>”</w:t>
      </w:r>
      <w:r>
        <w:rPr>
          <w:rFonts w:ascii="宋体" w:hAnsi="宋体" w:eastAsia="宋体" w:cs="宋体"/>
          <w:sz w:val="24"/>
        </w:rPr>
        <w:t>公开版于2020年7月1日正式上线，</w:t>
      </w:r>
      <w:r>
        <w:rPr>
          <w:rStyle w:val="14"/>
          <w:rFonts w:ascii="宋体" w:hAnsi="宋体" w:eastAsia="宋体" w:cs="宋体"/>
          <w:sz w:val="24"/>
        </w:rPr>
        <w:t>新增用户投诉实时受理动态、月度平台投诉量TOP10、热点投诉地区</w:t>
      </w:r>
      <w:r>
        <w:rPr>
          <w:rFonts w:ascii="宋体" w:hAnsi="宋体" w:eastAsia="宋体" w:cs="宋体"/>
          <w:sz w:val="24"/>
        </w:rPr>
        <w:t>等模块，让投诉过程透明化，一手掌握信息动态。</w:t>
      </w:r>
    </w:p>
    <w:p w14:paraId="0AA3432D">
      <w:pPr>
        <w:spacing w:before="156" w:beforeLines="50" w:after="156" w:afterLines="50" w:line="360" w:lineRule="auto"/>
        <w:jc w:val="left"/>
      </w:pPr>
      <w:r>
        <w:drawing>
          <wp:inline distT="0" distB="0" distL="0" distR="0">
            <wp:extent cx="4885055" cy="3084195"/>
            <wp:effectExtent l="0" t="0" r="0" b="1905"/>
            <wp:docPr id="40" name="图片 40" descr="28dbd7427b66ea60acd70c3008eff26"/>
            <wp:cNvGraphicFramePr/>
            <a:graphic xmlns:a="http://schemas.openxmlformats.org/drawingml/2006/main">
              <a:graphicData uri="http://schemas.openxmlformats.org/drawingml/2006/picture">
                <pic:pic xmlns:pic="http://schemas.openxmlformats.org/drawingml/2006/picture">
                  <pic:nvPicPr>
                    <pic:cNvPr id="40" name="图片 40" descr="28dbd7427b66ea60acd70c3008eff26"/>
                    <pic:cNvPicPr/>
                  </pic:nvPicPr>
                  <pic:blipFill>
                    <a:blip r:embed="rId22"/>
                    <a:stretch>
                      <a:fillRect/>
                    </a:stretch>
                  </pic:blipFill>
                  <pic:spPr>
                    <a:xfrm>
                      <a:off x="0" y="0"/>
                      <a:ext cx="4890139" cy="3087329"/>
                    </a:xfrm>
                    <a:prstGeom prst="rect">
                      <a:avLst/>
                    </a:prstGeom>
                  </pic:spPr>
                </pic:pic>
              </a:graphicData>
            </a:graphic>
          </wp:inline>
        </w:drawing>
      </w:r>
    </w:p>
    <w:p w14:paraId="3454BF29">
      <w:pPr>
        <w:pStyle w:val="3"/>
        <w:spacing w:line="360" w:lineRule="auto"/>
        <w:jc w:val="left"/>
        <w:rPr>
          <w:rFonts w:asciiTheme="minorEastAsia" w:hAnsiTheme="minorEastAsia" w:cstheme="minorEastAsia"/>
          <w:szCs w:val="28"/>
        </w:rPr>
      </w:pPr>
      <w:bookmarkStart w:id="24" w:name="_Toc28892"/>
      <w:bookmarkStart w:id="25" w:name="_Toc4676"/>
      <w:bookmarkStart w:id="26" w:name="_Toc8999"/>
      <w:bookmarkStart w:id="27" w:name="_Toc22876"/>
      <w:bookmarkStart w:id="28" w:name="_Toc2152"/>
      <w:bookmarkStart w:id="29" w:name="_Toc13799"/>
      <w:bookmarkStart w:id="30" w:name="_Toc102659529"/>
      <w:bookmarkStart w:id="31" w:name="_Toc4507"/>
      <w:bookmarkStart w:id="32" w:name="_Toc8017"/>
      <w:bookmarkStart w:id="33" w:name="_Toc352"/>
      <w:bookmarkStart w:id="34" w:name="_Toc32497"/>
      <w:bookmarkStart w:id="35" w:name="_Toc10978"/>
      <w:bookmarkStart w:id="36" w:name="_Toc32176"/>
      <w:bookmarkStart w:id="37" w:name="_Toc26824"/>
      <w:bookmarkStart w:id="38" w:name="_Toc10161"/>
      <w:bookmarkStart w:id="39" w:name="_Toc14641"/>
      <w:bookmarkStart w:id="40" w:name="_Toc21023"/>
      <w:bookmarkStart w:id="41" w:name="_Toc29763"/>
      <w:bookmarkStart w:id="42" w:name="_Toc11744"/>
      <w:r>
        <w:rPr>
          <w:rFonts w:hint="eastAsia" w:asciiTheme="minorEastAsia" w:hAnsiTheme="minorEastAsia" w:cstheme="minorEastAsia"/>
          <w:szCs w:val="28"/>
        </w:rPr>
        <w:t>（二）关于网经社</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32364902">
      <w:pPr>
        <w:spacing w:before="156" w:beforeLines="50" w:line="360" w:lineRule="auto"/>
        <w:ind w:firstLine="480" w:firstLineChars="200"/>
        <w:jc w:val="left"/>
        <w:rPr>
          <w:rFonts w:ascii="宋体" w:hAnsi="宋体" w:eastAsia="宋体" w:cs="宋体"/>
          <w:sz w:val="24"/>
        </w:rPr>
      </w:pPr>
      <w:r>
        <w:rPr>
          <w:rFonts w:hint="eastAsia" w:ascii="宋体" w:hAnsi="宋体" w:eastAsia="宋体" w:cs="宋体"/>
          <w:sz w:val="24"/>
        </w:rPr>
        <w:t>浙江网经社信息科技公司拥有18年历史，提供媒体平台、专业智库以及资源媒介三大服务，致力于打造大数据驱动的“中国领先的数字经济服务商”。</w:t>
      </w:r>
    </w:p>
    <w:p w14:paraId="679BA5A5">
      <w:pPr>
        <w:spacing w:before="156" w:beforeLines="50" w:line="360" w:lineRule="auto"/>
        <w:ind w:firstLine="480" w:firstLineChars="200"/>
        <w:jc w:val="left"/>
        <w:rPr>
          <w:rFonts w:ascii="宋体" w:hAnsi="宋体" w:eastAsia="宋体" w:cs="宋体"/>
          <w:sz w:val="24"/>
        </w:rPr>
      </w:pPr>
      <w:r>
        <w:rPr>
          <w:rFonts w:hint="eastAsia" w:ascii="宋体" w:hAnsi="宋体" w:eastAsia="宋体" w:cs="宋体"/>
          <w:sz w:val="24"/>
        </w:rPr>
        <w:t>公司总部位于杭州，系国内唯一拥有A股上市公司背景的数字经济媒体、智库和平台，母公司在全国拥有30个分支机构，实力雄厚，是我国数字经济行业的见证者与推动者。</w:t>
      </w:r>
    </w:p>
    <w:p w14:paraId="592E9590">
      <w:pPr>
        <w:spacing w:before="156" w:beforeLines="50" w:line="360" w:lineRule="auto"/>
        <w:ind w:firstLine="480" w:firstLineChars="200"/>
        <w:jc w:val="left"/>
        <w:rPr>
          <w:rFonts w:ascii="宋体" w:hAnsi="宋体" w:eastAsia="宋体" w:cs="宋体"/>
          <w:sz w:val="24"/>
        </w:rPr>
      </w:pPr>
      <w:r>
        <w:rPr>
          <w:rFonts w:hint="eastAsia" w:ascii="宋体" w:hAnsi="宋体" w:eastAsia="宋体" w:cs="宋体"/>
          <w:sz w:val="24"/>
        </w:rPr>
        <w:t xml:space="preserve">网经社在工信部、公安机关网站合法备案运行，服务客户覆盖各大互联网上市公司、独角兽，以及国家和各地政府部门，有口皆碑。 </w:t>
      </w:r>
    </w:p>
    <w:p w14:paraId="6B2CA15B">
      <w:pPr>
        <w:spacing w:before="156" w:beforeLines="50" w:line="360" w:lineRule="auto"/>
        <w:ind w:firstLine="482" w:firstLineChars="200"/>
        <w:jc w:val="left"/>
        <w:rPr>
          <w:rFonts w:asciiTheme="minorEastAsia" w:hAnsiTheme="minorEastAsia" w:cstheme="minorEastAsia"/>
          <w:b/>
          <w:bCs/>
          <w:sz w:val="24"/>
        </w:rPr>
      </w:pPr>
      <w:r>
        <w:rPr>
          <w:rFonts w:hint="eastAsia" w:asciiTheme="minorEastAsia" w:hAnsiTheme="minorEastAsia" w:cstheme="minorEastAsia"/>
          <w:b/>
          <w:bCs/>
          <w:sz w:val="24"/>
        </w:rPr>
        <w:t>数据墙：</w:t>
      </w:r>
    </w:p>
    <w:p w14:paraId="2A371D6A">
      <w:pPr>
        <w:widowControl/>
        <w:spacing w:before="156" w:beforeLines="50" w:line="360" w:lineRule="auto"/>
        <w:ind w:firstLine="480"/>
        <w:jc w:val="left"/>
        <w:rPr>
          <w:rFonts w:asciiTheme="minorEastAsia" w:hAnsiTheme="minorEastAsia" w:cstheme="minorEastAsia"/>
          <w:sz w:val="24"/>
        </w:rPr>
      </w:pPr>
      <w:r>
        <w:rPr>
          <w:rFonts w:hint="eastAsia" w:asciiTheme="minorEastAsia" w:hAnsiTheme="minorEastAsia" w:cstheme="minorEastAsia"/>
          <w:sz w:val="24"/>
        </w:rPr>
        <w:t>拥有</w:t>
      </w:r>
      <w:r>
        <w:rPr>
          <w:rFonts w:hint="eastAsia" w:asciiTheme="minorEastAsia" w:hAnsiTheme="minorEastAsia" w:cstheme="minorEastAsia"/>
          <w:b/>
          <w:sz w:val="24"/>
        </w:rPr>
        <w:t>100+专业频道</w:t>
      </w:r>
      <w:r>
        <w:rPr>
          <w:rFonts w:hint="eastAsia" w:asciiTheme="minorEastAsia" w:hAnsiTheme="minorEastAsia" w:cstheme="minorEastAsia"/>
          <w:sz w:val="24"/>
        </w:rPr>
        <w:t>，为全国用户提供全面、及时、专业的资讯，是国内领先的数字经济门户。</w:t>
      </w:r>
    </w:p>
    <w:p w14:paraId="1F704101">
      <w:pPr>
        <w:widowControl/>
        <w:spacing w:before="156" w:beforeLines="50" w:line="360" w:lineRule="auto"/>
        <w:ind w:firstLine="480"/>
        <w:jc w:val="left"/>
        <w:rPr>
          <w:rFonts w:asciiTheme="minorEastAsia" w:hAnsiTheme="minorEastAsia" w:cstheme="minorEastAsia"/>
          <w:sz w:val="24"/>
        </w:rPr>
      </w:pPr>
      <w:r>
        <w:rPr>
          <w:rFonts w:hint="eastAsia" w:asciiTheme="minorEastAsia" w:hAnsiTheme="minorEastAsia" w:cstheme="minorEastAsia"/>
          <w:sz w:val="24"/>
        </w:rPr>
        <w:t>平均每年有</w:t>
      </w:r>
      <w:r>
        <w:rPr>
          <w:rFonts w:hint="eastAsia" w:asciiTheme="minorEastAsia" w:hAnsiTheme="minorEastAsia" w:cstheme="minorEastAsia"/>
          <w:b/>
          <w:sz w:val="24"/>
        </w:rPr>
        <w:t>5000余</w:t>
      </w:r>
      <w:r>
        <w:rPr>
          <w:rFonts w:hint="eastAsia" w:asciiTheme="minorEastAsia" w:hAnsiTheme="minorEastAsia" w:cstheme="minorEastAsia"/>
          <w:sz w:val="24"/>
        </w:rPr>
        <w:t>家海内外媒体，超过</w:t>
      </w:r>
      <w:r>
        <w:rPr>
          <w:rFonts w:hint="eastAsia" w:asciiTheme="minorEastAsia" w:hAnsiTheme="minorEastAsia" w:cstheme="minorEastAsia"/>
          <w:b/>
          <w:sz w:val="24"/>
        </w:rPr>
        <w:t>10万</w:t>
      </w:r>
      <w:r>
        <w:rPr>
          <w:rFonts w:hint="eastAsia" w:asciiTheme="minorEastAsia" w:hAnsiTheme="minorEastAsia" w:cstheme="minorEastAsia"/>
          <w:sz w:val="24"/>
        </w:rPr>
        <w:t>篇新闻报道中引用我们的数据、报告、分析、榜单等从中央到地方，为超过</w:t>
      </w:r>
      <w:r>
        <w:rPr>
          <w:rFonts w:hint="eastAsia" w:asciiTheme="minorEastAsia" w:hAnsiTheme="minorEastAsia" w:cstheme="minorEastAsia"/>
          <w:b/>
          <w:sz w:val="24"/>
        </w:rPr>
        <w:t>200家</w:t>
      </w:r>
      <w:r>
        <w:rPr>
          <w:rFonts w:hint="eastAsia" w:asciiTheme="minorEastAsia" w:hAnsiTheme="minorEastAsia" w:cstheme="minorEastAsia"/>
          <w:sz w:val="24"/>
        </w:rPr>
        <w:t>各级政府部门提供了相关服务。</w:t>
      </w:r>
    </w:p>
    <w:p w14:paraId="307A8082">
      <w:pPr>
        <w:widowControl/>
        <w:spacing w:before="156" w:beforeLines="50" w:line="360" w:lineRule="auto"/>
        <w:ind w:firstLine="480"/>
        <w:jc w:val="left"/>
        <w:rPr>
          <w:rFonts w:asciiTheme="minorEastAsia" w:hAnsiTheme="minorEastAsia" w:cstheme="minorEastAsia"/>
          <w:sz w:val="24"/>
        </w:rPr>
      </w:pPr>
      <w:r>
        <w:rPr>
          <w:rFonts w:hint="eastAsia" w:asciiTheme="minorEastAsia" w:hAnsiTheme="minorEastAsia" w:cstheme="minorEastAsia"/>
          <w:sz w:val="24"/>
        </w:rPr>
        <w:t>超过</w:t>
      </w:r>
      <w:r>
        <w:rPr>
          <w:rFonts w:hint="eastAsia" w:asciiTheme="minorEastAsia" w:hAnsiTheme="minorEastAsia" w:cstheme="minorEastAsia"/>
          <w:b/>
          <w:sz w:val="24"/>
        </w:rPr>
        <w:t>20000家</w:t>
      </w:r>
      <w:r>
        <w:rPr>
          <w:rFonts w:hint="eastAsia" w:asciiTheme="minorEastAsia" w:hAnsiTheme="minorEastAsia" w:cstheme="minorEastAsia"/>
          <w:sz w:val="24"/>
        </w:rPr>
        <w:t>公司在海内外及投融资时，参考使用我们数据分析。</w:t>
      </w:r>
    </w:p>
    <w:p w14:paraId="66A0B718">
      <w:pPr>
        <w:widowControl/>
        <w:spacing w:before="156" w:beforeLines="50" w:line="360" w:lineRule="auto"/>
        <w:ind w:firstLine="480"/>
        <w:jc w:val="left"/>
        <w:rPr>
          <w:rFonts w:asciiTheme="minorEastAsia" w:hAnsiTheme="minorEastAsia" w:cstheme="minorEastAsia"/>
          <w:sz w:val="24"/>
        </w:rPr>
      </w:pPr>
      <w:r>
        <w:rPr>
          <w:rFonts w:hint="eastAsia" w:asciiTheme="minorEastAsia" w:hAnsiTheme="minorEastAsia" w:cstheme="minorEastAsia"/>
          <w:sz w:val="24"/>
        </w:rPr>
        <w:t>平均每年，超过</w:t>
      </w:r>
      <w:r>
        <w:rPr>
          <w:rFonts w:hint="eastAsia" w:asciiTheme="minorEastAsia" w:hAnsiTheme="minorEastAsia" w:cstheme="minorEastAsia"/>
          <w:b/>
          <w:sz w:val="24"/>
        </w:rPr>
        <w:t>10万</w:t>
      </w:r>
      <w:r>
        <w:rPr>
          <w:rFonts w:hint="eastAsia" w:asciiTheme="minorEastAsia" w:hAnsiTheme="minorEastAsia" w:cstheme="minorEastAsia"/>
          <w:sz w:val="24"/>
        </w:rPr>
        <w:t>人参加我们主办或协办、演讲的数字经济论坛、沙龙活动，覆盖人群规模超百万。</w:t>
      </w:r>
    </w:p>
    <w:p w14:paraId="3E9CF294">
      <w:pPr>
        <w:widowControl/>
        <w:spacing w:before="156" w:beforeLines="50" w:line="360" w:lineRule="auto"/>
        <w:ind w:firstLine="480"/>
        <w:jc w:val="left"/>
        <w:rPr>
          <w:rFonts w:asciiTheme="minorEastAsia" w:hAnsiTheme="minorEastAsia" w:cstheme="minorEastAsia"/>
          <w:sz w:val="24"/>
        </w:rPr>
      </w:pPr>
      <w:r>
        <w:rPr>
          <w:rFonts w:hint="eastAsia" w:asciiTheme="minorEastAsia" w:hAnsiTheme="minorEastAsia" w:cstheme="minorEastAsia"/>
          <w:sz w:val="24"/>
        </w:rPr>
        <w:t>国内上百家券商/基金/投行/机构在投资研究中参考我们的数据和推荐</w:t>
      </w:r>
    </w:p>
    <w:p w14:paraId="2612EFF5">
      <w:pPr>
        <w:pStyle w:val="7"/>
        <w:spacing w:line="360" w:lineRule="auto"/>
        <w:jc w:val="left"/>
        <w:rPr>
          <w:rFonts w:asciiTheme="minorEastAsia" w:hAnsiTheme="minorEastAsia" w:cstheme="minorEastAsia"/>
          <w:sz w:val="24"/>
        </w:rPr>
      </w:pPr>
      <w:r>
        <w:rPr>
          <w:rFonts w:hint="eastAsia" w:asciiTheme="minorEastAsia" w:hAnsiTheme="minorEastAsia" w:cstheme="minorEastAsia"/>
          <w:sz w:val="24"/>
        </w:rPr>
        <w:t>超过</w:t>
      </w:r>
      <w:r>
        <w:rPr>
          <w:rFonts w:hint="eastAsia" w:asciiTheme="minorEastAsia" w:hAnsiTheme="minorEastAsia" w:cstheme="minorEastAsia"/>
          <w:b/>
          <w:sz w:val="24"/>
        </w:rPr>
        <w:t>1000+家</w:t>
      </w:r>
      <w:r>
        <w:rPr>
          <w:rFonts w:hint="eastAsia" w:asciiTheme="minorEastAsia" w:hAnsiTheme="minorEastAsia" w:cstheme="minorEastAsia"/>
          <w:sz w:val="24"/>
        </w:rPr>
        <w:t>电商、</w:t>
      </w:r>
      <w:r>
        <w:rPr>
          <w:rFonts w:asciiTheme="minorEastAsia" w:hAnsiTheme="minorEastAsia" w:cstheme="minorEastAsia"/>
          <w:b/>
          <w:sz w:val="24"/>
        </w:rPr>
        <w:t>4</w:t>
      </w:r>
      <w:r>
        <w:rPr>
          <w:rFonts w:hint="eastAsia" w:asciiTheme="minorEastAsia" w:hAnsiTheme="minorEastAsia" w:cstheme="minorEastAsia"/>
          <w:b/>
          <w:sz w:val="24"/>
        </w:rPr>
        <w:t>0000+家</w:t>
      </w:r>
      <w:r>
        <w:rPr>
          <w:rFonts w:hint="eastAsia" w:asciiTheme="minorEastAsia" w:hAnsiTheme="minorEastAsia" w:cstheme="minorEastAsia"/>
          <w:sz w:val="24"/>
        </w:rPr>
        <w:t>数字经济企业依靠我们的信息、服务和解决方案不同程度提升了他们的经营业绩。</w:t>
      </w:r>
    </w:p>
    <w:p w14:paraId="3F8C5BD3">
      <w:pPr>
        <w:widowControl/>
        <w:spacing w:before="156" w:beforeLines="50" w:line="360" w:lineRule="auto"/>
        <w:ind w:firstLine="480"/>
        <w:jc w:val="left"/>
        <w:rPr>
          <w:rFonts w:ascii="宋体" w:hAnsi="宋体" w:cs="宋体"/>
          <w:b/>
          <w:bCs/>
          <w:kern w:val="0"/>
          <w:sz w:val="24"/>
        </w:rPr>
      </w:pPr>
      <w:r>
        <w:rPr>
          <w:rFonts w:hint="eastAsia" w:ascii="宋体" w:hAnsi="宋体" w:cs="宋体"/>
          <w:b/>
          <w:bCs/>
          <w:kern w:val="0"/>
          <w:sz w:val="24"/>
        </w:rPr>
        <w:t>版权声明：</w:t>
      </w:r>
    </w:p>
    <w:p w14:paraId="06AB94FB">
      <w:pPr>
        <w:widowControl/>
        <w:numPr>
          <w:ilvl w:val="0"/>
          <w:numId w:val="2"/>
        </w:numPr>
        <w:spacing w:line="360" w:lineRule="auto"/>
        <w:ind w:firstLine="482"/>
        <w:jc w:val="left"/>
        <w:rPr>
          <w:rFonts w:ascii="宋体" w:hAnsi="宋体" w:cs="宋体"/>
          <w:kern w:val="0"/>
          <w:sz w:val="24"/>
        </w:rPr>
      </w:pPr>
      <w:r>
        <w:rPr>
          <w:rFonts w:hint="eastAsia" w:ascii="宋体" w:hAnsi="宋体" w:cs="宋体"/>
          <w:kern w:val="0"/>
          <w:sz w:val="24"/>
        </w:rPr>
        <w:t>本报告相关知识产权归网经社电子商务研究中心所有，</w:t>
      </w:r>
      <w:r>
        <w:rPr>
          <w:rFonts w:hint="eastAsia" w:ascii="宋体" w:hAnsi="宋体" w:cs="宋体"/>
          <w:b/>
          <w:kern w:val="0"/>
          <w:sz w:val="24"/>
        </w:rPr>
        <w:t>任何部门、企业、机构、媒体等单位引用本报告数据、内容，均请注明：“根据网经社电子商务研究中心发布</w:t>
      </w:r>
      <w:r>
        <w:rPr>
          <w:rFonts w:hint="eastAsia" w:ascii="宋体" w:hAnsi="宋体" w:eastAsia="宋体" w:cs="宋体"/>
          <w:b/>
          <w:color w:val="000000" w:themeColor="text1"/>
          <w:kern w:val="0"/>
          <w:sz w:val="24"/>
          <w14:textFill>
            <w14:solidFill>
              <w14:schemeClr w14:val="tx1"/>
            </w14:solidFill>
          </w14:textFill>
        </w:rPr>
        <w:t>的</w:t>
      </w:r>
      <w:r>
        <w:rPr>
          <w:rFonts w:hint="eastAsia" w:asciiTheme="minorEastAsia" w:hAnsiTheme="minorEastAsia" w:cstheme="minorEastAsia"/>
          <w:b/>
          <w:color w:val="000000" w:themeColor="text1"/>
          <w:sz w:val="24"/>
          <w14:textFill>
            <w14:solidFill>
              <w14:schemeClr w14:val="tx1"/>
            </w14:solidFill>
          </w14:textFill>
        </w:rPr>
        <w:t>《2025年</w:t>
      </w:r>
      <w:r>
        <w:rPr>
          <w:rFonts w:hint="eastAsia" w:asciiTheme="minorEastAsia" w:hAnsiTheme="minorEastAsia" w:cstheme="minorEastAsia"/>
          <w:b/>
          <w:color w:val="000000" w:themeColor="text1"/>
          <w:sz w:val="24"/>
          <w:lang w:val="en-US" w:eastAsia="zh-CN"/>
          <w14:textFill>
            <w14:solidFill>
              <w14:schemeClr w14:val="tx1"/>
            </w14:solidFill>
          </w14:textFill>
        </w:rPr>
        <w:t>8</w:t>
      </w:r>
      <w:r>
        <w:rPr>
          <w:rFonts w:hint="eastAsia" w:asciiTheme="minorEastAsia" w:hAnsiTheme="minorEastAsia" w:cstheme="minorEastAsia"/>
          <w:b/>
          <w:color w:val="000000" w:themeColor="text1"/>
          <w:sz w:val="24"/>
          <w14:textFill>
            <w14:solidFill>
              <w14:schemeClr w14:val="tx1"/>
            </w14:solidFill>
          </w14:textFill>
        </w:rPr>
        <w:t>月中国电子商务用户体验与投诉数据报告》</w:t>
      </w:r>
      <w:r>
        <w:rPr>
          <w:rFonts w:hint="eastAsia" w:ascii="宋体" w:hAnsi="宋体" w:cs="宋体"/>
          <w:b/>
          <w:color w:val="000000" w:themeColor="text1"/>
          <w:kern w:val="0"/>
          <w:sz w:val="24"/>
          <w14:textFill>
            <w14:solidFill>
              <w14:schemeClr w14:val="tx1"/>
            </w14:solidFill>
          </w14:textFill>
        </w:rPr>
        <w:t>”</w:t>
      </w:r>
      <w:r>
        <w:rPr>
          <w:rFonts w:hint="eastAsia" w:ascii="宋体" w:hAnsi="宋体" w:cs="宋体"/>
          <w:color w:val="000000" w:themeColor="text1"/>
          <w:kern w:val="0"/>
          <w:sz w:val="24"/>
          <w14:textFill>
            <w14:solidFill>
              <w14:schemeClr w14:val="tx1"/>
            </w14:solidFill>
          </w14:textFill>
        </w:rPr>
        <w:t>。</w:t>
      </w:r>
    </w:p>
    <w:p w14:paraId="7F7F272A">
      <w:pPr>
        <w:widowControl/>
        <w:spacing w:line="360" w:lineRule="auto"/>
        <w:ind w:firstLine="482"/>
        <w:jc w:val="left"/>
        <w:rPr>
          <w:rFonts w:ascii="宋体" w:hAnsi="宋体" w:cs="宋体"/>
          <w:kern w:val="0"/>
          <w:sz w:val="24"/>
        </w:rPr>
      </w:pPr>
      <w:r>
        <w:rPr>
          <w:rFonts w:hint="eastAsia" w:ascii="宋体" w:hAnsi="宋体" w:cs="宋体"/>
          <w:kern w:val="0"/>
          <w:sz w:val="24"/>
        </w:rPr>
        <w:t>2、本报告仅为参考研究资料，不构成投资、决策等任何建议，由此带来的风险请慎重考虑，网经社电子商务研究中心不承担因使用本报告信息而产生的任何责任。</w:t>
      </w:r>
    </w:p>
    <w:p w14:paraId="4C0E691F">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3、报告涉及金额单位除特殊标注外，均默认为人民币（元）；本报告数据除特殊说明外，一般不含港澳台。</w:t>
      </w:r>
    </w:p>
    <w:p w14:paraId="5FE3B5A2">
      <w:pPr>
        <w:widowControl/>
        <w:spacing w:line="360" w:lineRule="auto"/>
        <w:ind w:firstLine="482"/>
        <w:jc w:val="left"/>
        <w:rPr>
          <w:rFonts w:ascii="宋体" w:hAnsi="宋体" w:cs="宋体"/>
          <w:sz w:val="24"/>
        </w:rPr>
      </w:pPr>
      <w:r>
        <w:rPr>
          <w:rFonts w:hint="eastAsia" w:ascii="宋体" w:hAnsi="宋体" w:cs="宋体"/>
          <w:sz w:val="24"/>
        </w:rPr>
        <w:t>除参与上述报告合作外，我们欢迎也各电商平台及相关公司，基于各自平台大数据，开展个性化定制，包括不限于：平台年度用户画像与大数据报告、公司案例研究专题研究报告、公司与竞对研究分析投资价值、平台合规性审查报告，以及公司所在细分行业关于平台模式、物流网络、金融科技、用户体验、财务分析、投融资、行业影响力、舆情口碑、用户体验评测、平台界面与功能服务评测等细分角度切入的行业性报告。</w:t>
      </w:r>
    </w:p>
    <w:p w14:paraId="3DBBECDB">
      <w:pPr>
        <w:spacing w:line="360" w:lineRule="auto"/>
        <w:ind w:firstLine="482"/>
        <w:jc w:val="right"/>
        <w:outlineLvl w:val="1"/>
        <w:rPr>
          <w:rFonts w:ascii="宋体" w:hAnsi="宋体" w:cs="宋体"/>
          <w:b/>
          <w:bCs/>
          <w:sz w:val="28"/>
          <w:szCs w:val="28"/>
        </w:rPr>
      </w:pPr>
      <w:bookmarkStart w:id="43" w:name="_Toc2264"/>
      <w:bookmarkStart w:id="44" w:name="_Toc4658"/>
      <w:bookmarkStart w:id="45" w:name="_Toc13390"/>
      <w:bookmarkStart w:id="46" w:name="_Toc31781"/>
      <w:bookmarkStart w:id="47" w:name="_Toc24312"/>
      <w:bookmarkStart w:id="48" w:name="_Toc27093"/>
      <w:bookmarkStart w:id="49" w:name="_Toc25067"/>
      <w:bookmarkStart w:id="50" w:name="_Toc21512"/>
      <w:bookmarkStart w:id="51" w:name="_Toc16859"/>
      <w:bookmarkStart w:id="52" w:name="_Toc14637"/>
      <w:bookmarkStart w:id="53" w:name="_Toc102659530"/>
      <w:bookmarkStart w:id="54" w:name="_Toc21964"/>
      <w:bookmarkStart w:id="55" w:name="_Toc16370"/>
      <w:bookmarkStart w:id="56" w:name="_Toc24469"/>
      <w:bookmarkStart w:id="57" w:name="_Toc10799"/>
      <w:bookmarkStart w:id="58" w:name="_Toc26410"/>
      <w:bookmarkStart w:id="59" w:name="_Toc11384"/>
      <w:bookmarkStart w:id="60" w:name="_Toc17041"/>
      <w:bookmarkStart w:id="61" w:name="_Toc22932"/>
      <w:bookmarkStart w:id="62" w:name="_Toc30814"/>
      <w:bookmarkStart w:id="63" w:name="_Toc18850"/>
      <w:bookmarkStart w:id="64" w:name="_Toc24557"/>
      <w:bookmarkStart w:id="65" w:name="_Toc1691"/>
      <w:bookmarkStart w:id="66" w:name="_Toc6977"/>
      <w:bookmarkStart w:id="67" w:name="_Toc12878"/>
      <w:bookmarkStart w:id="68" w:name="_Toc1123"/>
      <w:r>
        <w:rPr>
          <w:rFonts w:hint="eastAsia" w:ascii="宋体" w:hAnsi="宋体" w:cs="宋体"/>
          <w:b/>
          <w:bCs/>
          <w:sz w:val="28"/>
          <w:szCs w:val="28"/>
        </w:rPr>
        <w:t>报告发布：网经社电子商务研究中心</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0B030F8F">
      <w:pPr>
        <w:wordWrap w:val="0"/>
        <w:spacing w:line="360" w:lineRule="auto"/>
        <w:ind w:firstLine="482"/>
        <w:jc w:val="right"/>
        <w:outlineLvl w:val="1"/>
        <w:rPr>
          <w:rStyle w:val="14"/>
          <w:rFonts w:ascii="微软雅黑" w:hAnsi="微软雅黑" w:eastAsia="微软雅黑" w:cs="微软雅黑"/>
          <w:bCs/>
          <w:color w:val="5B9BD5" w:themeColor="accent1"/>
          <w:sz w:val="28"/>
          <w:szCs w:val="28"/>
          <w14:textFill>
            <w14:solidFill>
              <w14:schemeClr w14:val="accent1"/>
            </w14:solidFill>
          </w14:textFill>
        </w:rPr>
      </w:pPr>
      <w:bookmarkStart w:id="69" w:name="_Toc13591"/>
      <w:bookmarkStart w:id="70" w:name="_Toc26158"/>
      <w:bookmarkStart w:id="71" w:name="_Toc3695"/>
      <w:bookmarkStart w:id="72" w:name="_Toc20008"/>
      <w:bookmarkStart w:id="73" w:name="_Toc30660"/>
      <w:bookmarkStart w:id="74" w:name="_Toc29828"/>
      <w:bookmarkStart w:id="75" w:name="_Toc10340"/>
      <w:bookmarkStart w:id="76" w:name="_Toc1221"/>
      <w:bookmarkStart w:id="77" w:name="_Toc32754"/>
      <w:bookmarkStart w:id="78" w:name="_Toc27361"/>
      <w:bookmarkStart w:id="79" w:name="_Toc15606"/>
      <w:bookmarkStart w:id="80" w:name="_Toc32183"/>
      <w:bookmarkStart w:id="81" w:name="_Toc32066"/>
      <w:bookmarkStart w:id="82" w:name="_Toc8948"/>
      <w:bookmarkStart w:id="83" w:name="_Toc11147"/>
      <w:bookmarkStart w:id="84" w:name="_Toc15503"/>
      <w:bookmarkStart w:id="85" w:name="_Toc11602"/>
      <w:bookmarkStart w:id="86" w:name="_Toc1018"/>
      <w:bookmarkStart w:id="87" w:name="_Toc17860"/>
      <w:bookmarkStart w:id="88" w:name="_Toc17877"/>
      <w:bookmarkStart w:id="89" w:name="_Toc13308"/>
      <w:bookmarkStart w:id="90" w:name="_Toc9613"/>
      <w:bookmarkStart w:id="91" w:name="_Toc15190"/>
      <w:bookmarkStart w:id="92" w:name="_Toc29568"/>
      <w:bookmarkStart w:id="93" w:name="_Toc11282"/>
      <w:bookmarkStart w:id="94" w:name="_Toc24934"/>
      <w:bookmarkStart w:id="95" w:name="_Toc10921"/>
      <w:bookmarkStart w:id="96" w:name="_Toc21341"/>
      <w:bookmarkStart w:id="97" w:name="_Toc23535"/>
      <w:bookmarkStart w:id="98" w:name="_Toc5381"/>
      <w:bookmarkStart w:id="99" w:name="_Toc17132"/>
      <w:bookmarkStart w:id="100" w:name="_Toc11142"/>
      <w:bookmarkStart w:id="101" w:name="_Toc102659531"/>
      <w:r>
        <w:rPr>
          <w:rFonts w:hint="eastAsia" w:ascii="宋体" w:hAnsi="宋体" w:cs="宋体"/>
          <w:b/>
          <w:bCs/>
          <w:sz w:val="28"/>
          <w:szCs w:val="28"/>
        </w:rPr>
        <w:t>发布时间</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Pr>
          <w:rFonts w:hint="eastAsia" w:ascii="宋体" w:hAnsi="宋体" w:cs="宋体"/>
          <w:b/>
          <w:bCs/>
          <w:sz w:val="28"/>
          <w:szCs w:val="28"/>
        </w:rPr>
        <w:t>：2025年</w:t>
      </w:r>
      <w:bookmarkEnd w:id="92"/>
      <w:bookmarkEnd w:id="93"/>
      <w:bookmarkEnd w:id="94"/>
      <w:bookmarkEnd w:id="95"/>
      <w:bookmarkEnd w:id="96"/>
      <w:bookmarkEnd w:id="97"/>
      <w:bookmarkEnd w:id="98"/>
      <w:bookmarkEnd w:id="99"/>
      <w:bookmarkEnd w:id="100"/>
      <w:r>
        <w:rPr>
          <w:rFonts w:hint="eastAsia" w:ascii="宋体" w:hAnsi="宋体" w:cs="宋体"/>
          <w:b/>
          <w:bCs/>
          <w:sz w:val="28"/>
          <w:szCs w:val="28"/>
          <w:lang w:val="en-US" w:eastAsia="zh-CN"/>
        </w:rPr>
        <w:t>9</w:t>
      </w:r>
      <w:r>
        <w:rPr>
          <w:rFonts w:hint="eastAsia" w:ascii="宋体" w:hAnsi="宋体" w:cs="宋体"/>
          <w:b/>
          <w:bCs/>
          <w:sz w:val="28"/>
          <w:szCs w:val="28"/>
        </w:rPr>
        <w:t>月</w:t>
      </w:r>
      <w:r>
        <w:rPr>
          <w:rFonts w:hint="eastAsia" w:ascii="宋体" w:hAnsi="宋体" w:cs="宋体"/>
          <w:b/>
          <w:bCs/>
          <w:sz w:val="28"/>
          <w:szCs w:val="28"/>
          <w:lang w:val="en-US" w:eastAsia="zh-CN"/>
        </w:rPr>
        <w:t>4</w:t>
      </w:r>
      <w:r>
        <w:rPr>
          <w:rFonts w:hint="eastAsia" w:ascii="宋体" w:hAnsi="宋体" w:cs="宋体"/>
          <w:b/>
          <w:bCs/>
          <w:sz w:val="28"/>
          <w:szCs w:val="28"/>
        </w:rPr>
        <w:t>日</w:t>
      </w:r>
      <w:bookmarkEnd w:id="101"/>
      <w:bookmarkStart w:id="102" w:name="_Toc7520"/>
      <w:bookmarkStart w:id="103" w:name="_Toc5429"/>
      <w:bookmarkStart w:id="104" w:name="_Toc24167"/>
      <w:bookmarkStart w:id="105" w:name="_Toc13315"/>
      <w:bookmarkStart w:id="106" w:name="_Toc26039"/>
      <w:bookmarkStart w:id="107" w:name="_Toc12631"/>
      <w:bookmarkStart w:id="108" w:name="_Toc11112"/>
      <w:bookmarkStart w:id="109" w:name="_Toc21943"/>
      <w:bookmarkStart w:id="110" w:name="_Toc102659532"/>
      <w:bookmarkStart w:id="111" w:name="_Toc9748"/>
      <w:bookmarkStart w:id="112" w:name="_Toc22856"/>
      <w:bookmarkStart w:id="113" w:name="_Toc20860"/>
      <w:bookmarkStart w:id="114" w:name="_Toc18918"/>
      <w:bookmarkStart w:id="115" w:name="_Toc26390"/>
      <w:bookmarkStart w:id="116" w:name="_Toc21832"/>
      <w:bookmarkStart w:id="117" w:name="_Toc20146"/>
      <w:bookmarkStart w:id="118" w:name="_Toc6588"/>
      <w:bookmarkStart w:id="119" w:name="_Toc16563"/>
      <w:bookmarkStart w:id="120" w:name="_Toc25790"/>
      <w:bookmarkStart w:id="121" w:name="_Toc10893"/>
      <w:bookmarkStart w:id="122" w:name="_Toc14425"/>
      <w:bookmarkStart w:id="123" w:name="_Toc3659"/>
      <w:r>
        <w:rPr>
          <w:rFonts w:ascii="宋体" w:hAnsi="宋体" w:cs="宋体"/>
          <w:b/>
          <w:bCs/>
          <w:sz w:val="28"/>
          <w:szCs w:val="28"/>
        </w:rPr>
        <w:br w:type="page"/>
      </w:r>
      <w:r>
        <w:rPr>
          <w:rStyle w:val="14"/>
          <w:rFonts w:hint="eastAsia" w:ascii="微软雅黑" w:hAnsi="微软雅黑" w:eastAsia="微软雅黑" w:cs="微软雅黑"/>
          <w:color w:val="5B9BD5" w:themeColor="accent1"/>
          <w:sz w:val="28"/>
          <w:szCs w:val="28"/>
          <w14:textFill>
            <w14:solidFill>
              <w14:schemeClr w14:val="accent1"/>
            </w14:solidFill>
          </w14:textFill>
        </w:rPr>
        <w:t xml:space="preserve">官方公众号ID：i100EC         </w:t>
      </w:r>
      <w:r>
        <w:rPr>
          <w:rFonts w:hint="eastAsia" w:ascii="微软雅黑" w:hAnsi="微软雅黑" w:eastAsia="微软雅黑" w:cs="微软雅黑"/>
          <w:b/>
          <w:bCs/>
          <w:color w:val="5B9BD5" w:themeColor="accent1"/>
          <w:sz w:val="28"/>
          <w:szCs w:val="28"/>
          <w14:textFill>
            <w14:solidFill>
              <w14:schemeClr w14:val="accent1"/>
            </w14:solidFill>
          </w14:textFill>
        </w:rPr>
        <w:t>网购投诉平台ID：DSWQ315</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0F789A6C">
      <w:pPr>
        <w:spacing w:before="156" w:beforeLines="50" w:line="360" w:lineRule="auto"/>
        <w:ind w:firstLine="211" w:firstLineChars="100"/>
        <w:jc w:val="left"/>
        <w:rPr>
          <w:rFonts w:asciiTheme="minorEastAsia" w:hAnsiTheme="minorEastAsia" w:cstheme="minorEastAsia"/>
          <w:b/>
          <w:bCs/>
          <w:color w:val="5B9BD5" w:themeColor="accent1"/>
          <w:szCs w:val="21"/>
          <w14:textFill>
            <w14:solidFill>
              <w14:schemeClr w14:val="accent1"/>
            </w14:solidFill>
          </w14:textFill>
        </w:rPr>
      </w:pPr>
      <w:r>
        <w:rPr>
          <w:rStyle w:val="14"/>
          <w:rFonts w:hint="eastAsia" w:asciiTheme="minorEastAsia" w:hAnsiTheme="minorEastAsia" w:cstheme="minorEastAsia"/>
          <w:color w:val="5B9BD5" w:themeColor="accent1"/>
          <w:szCs w:val="21"/>
          <w14:textFill>
            <w14:solidFill>
              <w14:schemeClr w14:val="accent1"/>
            </w14:solidFill>
          </w14:textFill>
        </w:rPr>
        <w:t xml:space="preserve">（超40万电商人都在看！）                             </w:t>
      </w:r>
      <w:r>
        <w:rPr>
          <w:rFonts w:hint="eastAsia" w:asciiTheme="minorEastAsia" w:hAnsiTheme="minorEastAsia" w:cstheme="minorEastAsia"/>
          <w:b/>
          <w:bCs/>
          <w:color w:val="5B9BD5" w:themeColor="accent1"/>
          <w:szCs w:val="21"/>
          <w14:textFill>
            <w14:solidFill>
              <w14:schemeClr w14:val="accent1"/>
            </w14:solidFill>
          </w14:textFill>
        </w:rPr>
        <w:t>（在线网购投诉）</w:t>
      </w:r>
    </w:p>
    <w:p w14:paraId="20C8E0ED">
      <w:pPr>
        <w:spacing w:before="156" w:beforeLines="50" w:line="360" w:lineRule="auto"/>
        <w:jc w:val="left"/>
        <w:rPr>
          <w:rFonts w:asciiTheme="minorEastAsia" w:hAnsiTheme="minorEastAsia" w:cstheme="minorEastAsia"/>
          <w:szCs w:val="21"/>
        </w:rPr>
      </w:pPr>
      <w:r>
        <w:rPr>
          <w:rFonts w:asciiTheme="minorEastAsia" w:hAnsiTheme="minorEastAsia" w:cstheme="minorEastAsia"/>
          <w:szCs w:val="21"/>
        </w:rPr>
        <w:drawing>
          <wp:inline distT="0" distB="0" distL="0" distR="0">
            <wp:extent cx="1636395" cy="1655445"/>
            <wp:effectExtent l="0" t="0" r="1905" b="825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noChangeArrowheads="1"/>
                    </pic:cNvPicPr>
                  </pic:nvPicPr>
                  <pic:blipFill>
                    <a:blip r:embed="rId23" cstate="print"/>
                    <a:srcRect/>
                    <a:stretch>
                      <a:fillRect/>
                    </a:stretch>
                  </pic:blipFill>
                  <pic:spPr>
                    <a:xfrm>
                      <a:off x="0" y="0"/>
                      <a:ext cx="1636395" cy="1655445"/>
                    </a:xfrm>
                    <a:prstGeom prst="rect">
                      <a:avLst/>
                    </a:prstGeom>
                    <a:noFill/>
                    <a:ln w="9525">
                      <a:noFill/>
                      <a:miter lim="800000"/>
                      <a:headEnd/>
                      <a:tailEnd/>
                    </a:ln>
                  </pic:spPr>
                </pic:pic>
              </a:graphicData>
            </a:graphic>
          </wp:inline>
        </w:drawing>
      </w:r>
      <w:r>
        <w:rPr>
          <w:rFonts w:hint="eastAsia" w:asciiTheme="minorEastAsia" w:hAnsiTheme="minorEastAsia" w:cstheme="minorEastAsia"/>
          <w:szCs w:val="21"/>
        </w:rPr>
        <w:t xml:space="preserve">                       </w:t>
      </w:r>
      <w:r>
        <w:drawing>
          <wp:inline distT="0" distB="0" distL="114300" distR="114300">
            <wp:extent cx="1642110" cy="1633220"/>
            <wp:effectExtent l="0" t="0" r="8890" b="508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4" cstate="print"/>
                    <a:stretch>
                      <a:fillRect/>
                    </a:stretch>
                  </pic:blipFill>
                  <pic:spPr>
                    <a:xfrm>
                      <a:off x="0" y="0"/>
                      <a:ext cx="1642110" cy="1633220"/>
                    </a:xfrm>
                    <a:prstGeom prst="rect">
                      <a:avLst/>
                    </a:prstGeom>
                    <a:noFill/>
                    <a:ln>
                      <a:noFill/>
                    </a:ln>
                  </pic:spPr>
                </pic:pic>
              </a:graphicData>
            </a:graphic>
          </wp:inline>
        </w:drawing>
      </w:r>
    </w:p>
    <w:p w14:paraId="5569A6B5">
      <w:pPr>
        <w:spacing w:before="156" w:beforeLines="50" w:line="360" w:lineRule="auto"/>
        <w:jc w:val="left"/>
        <w:outlineLvl w:val="1"/>
        <w:rPr>
          <w:rFonts w:ascii="微软雅黑" w:hAnsi="微软雅黑" w:eastAsia="微软雅黑" w:cs="微软雅黑"/>
          <w:b/>
          <w:bCs/>
          <w:color w:val="5B9BD5" w:themeColor="accent1"/>
          <w:sz w:val="28"/>
          <w:szCs w:val="28"/>
          <w14:textFill>
            <w14:solidFill>
              <w14:schemeClr w14:val="accent1"/>
            </w14:solidFill>
          </w14:textFill>
        </w:rPr>
      </w:pPr>
      <w:bookmarkStart w:id="124" w:name="_Toc26948"/>
      <w:bookmarkStart w:id="125" w:name="_Toc25901"/>
      <w:bookmarkStart w:id="126" w:name="_Toc17692"/>
      <w:bookmarkStart w:id="127" w:name="_Toc14643"/>
      <w:bookmarkStart w:id="128" w:name="_Toc2691"/>
      <w:bookmarkStart w:id="129" w:name="_Toc28328"/>
      <w:bookmarkStart w:id="130" w:name="_Toc1119"/>
      <w:bookmarkStart w:id="131" w:name="_Toc29005"/>
      <w:bookmarkStart w:id="132" w:name="_Toc10027"/>
      <w:bookmarkStart w:id="133" w:name="_Toc13272"/>
      <w:bookmarkStart w:id="134" w:name="_Toc27206"/>
      <w:bookmarkStart w:id="135" w:name="_Toc8396"/>
      <w:bookmarkStart w:id="136" w:name="_Toc8579"/>
      <w:bookmarkStart w:id="137" w:name="_Toc19281"/>
      <w:bookmarkStart w:id="138" w:name="_Toc6179"/>
      <w:bookmarkStart w:id="139" w:name="_Toc27235"/>
      <w:bookmarkStart w:id="140" w:name="_Toc24712"/>
      <w:bookmarkStart w:id="141" w:name="_Toc102659533"/>
      <w:bookmarkStart w:id="142" w:name="_Toc18278"/>
      <w:bookmarkStart w:id="143" w:name="_Toc26109"/>
      <w:bookmarkStart w:id="144" w:name="_Toc18710"/>
      <w:bookmarkStart w:id="145" w:name="_Toc2332"/>
    </w:p>
    <w:p w14:paraId="512D59F3">
      <w:pPr>
        <w:spacing w:before="156" w:beforeLines="50" w:line="360" w:lineRule="auto"/>
        <w:jc w:val="left"/>
        <w:outlineLvl w:val="1"/>
        <w:rPr>
          <w:rFonts w:ascii="微软雅黑" w:hAnsi="微软雅黑" w:eastAsia="微软雅黑" w:cs="微软雅黑"/>
          <w:b/>
          <w:bCs/>
          <w:color w:val="5B9BD5" w:themeColor="accent1"/>
          <w:sz w:val="28"/>
          <w:szCs w:val="28"/>
          <w14:textFill>
            <w14:solidFill>
              <w14:schemeClr w14:val="accent1"/>
            </w14:solidFill>
          </w14:textFill>
        </w:rPr>
      </w:pPr>
      <w:r>
        <w:rPr>
          <w:rFonts w:hint="eastAsia" w:ascii="微软雅黑" w:hAnsi="微软雅黑" w:eastAsia="微软雅黑" w:cs="微软雅黑"/>
          <w:b/>
          <w:bCs/>
          <w:color w:val="5B9BD5" w:themeColor="accent1"/>
          <w:sz w:val="28"/>
          <w:szCs w:val="28"/>
          <w14:textFill>
            <w14:solidFill>
              <w14:schemeClr w14:val="accent1"/>
            </w14:solidFill>
          </w14:textFill>
        </w:rPr>
        <w:t>商家投诉（</w:t>
      </w:r>
      <w:r>
        <w:fldChar w:fldCharType="begin"/>
      </w:r>
      <w:r>
        <w:instrText xml:space="preserve"> HYPERLINK "file:///D:\\backup\\报告类\\DATA.100EC.CN" </w:instrText>
      </w:r>
      <w:r>
        <w:fldChar w:fldCharType="separate"/>
      </w:r>
      <w:r>
        <w:rPr>
          <w:rStyle w:val="15"/>
          <w:rFonts w:hint="eastAsia" w:ascii="微软雅黑" w:hAnsi="微软雅黑" w:eastAsia="微软雅黑" w:cs="微软雅黑"/>
          <w:b/>
          <w:bCs/>
          <w:color w:val="5B9BD5" w:themeColor="accent1"/>
          <w:sz w:val="28"/>
          <w:szCs w:val="28"/>
          <w14:textFill>
            <w14:solidFill>
              <w14:schemeClr w14:val="accent1"/>
            </w14:solidFill>
          </w14:textFill>
        </w:rPr>
        <w:t>JTK.100EC.CN</w:t>
      </w:r>
      <w:r>
        <w:rPr>
          <w:rStyle w:val="15"/>
          <w:rFonts w:hint="eastAsia" w:ascii="微软雅黑" w:hAnsi="微软雅黑" w:eastAsia="微软雅黑" w:cs="微软雅黑"/>
          <w:b/>
          <w:bCs/>
          <w:color w:val="5B9BD5" w:themeColor="accent1"/>
          <w:sz w:val="28"/>
          <w:szCs w:val="28"/>
          <w14:textFill>
            <w14:solidFill>
              <w14:schemeClr w14:val="accent1"/>
            </w14:solidFill>
          </w14:textFill>
        </w:rPr>
        <w:fldChar w:fldCharType="end"/>
      </w:r>
      <w:r>
        <w:rPr>
          <w:rFonts w:hint="eastAsia" w:ascii="微软雅黑" w:hAnsi="微软雅黑" w:eastAsia="微软雅黑" w:cs="微软雅黑"/>
          <w:b/>
          <w:bCs/>
          <w:color w:val="5B9BD5" w:themeColor="accent1"/>
          <w:sz w:val="28"/>
          <w:szCs w:val="28"/>
          <w14:textFill>
            <w14:solidFill>
              <w14:schemeClr w14:val="accent1"/>
            </w14:solidFill>
          </w14:textFill>
        </w:rPr>
        <w:t>）           电诉（</w:t>
      </w:r>
      <w:r>
        <w:fldChar w:fldCharType="begin"/>
      </w:r>
      <w:r>
        <w:instrText xml:space="preserve"> HYPERLINK "file:///D:\\backup\\报告类\\315.100EC.CN" </w:instrText>
      </w:r>
      <w:r>
        <w:fldChar w:fldCharType="separate"/>
      </w:r>
      <w:r>
        <w:rPr>
          <w:rStyle w:val="15"/>
          <w:rFonts w:hint="eastAsia" w:ascii="微软雅黑" w:hAnsi="微软雅黑" w:eastAsia="微软雅黑" w:cs="微软雅黑"/>
          <w:b/>
          <w:bCs/>
          <w:color w:val="5B9BD5" w:themeColor="accent1"/>
          <w:sz w:val="28"/>
          <w:szCs w:val="28"/>
          <w14:textFill>
            <w14:solidFill>
              <w14:schemeClr w14:val="accent1"/>
            </w14:solidFill>
          </w14:textFill>
        </w:rPr>
        <w:t>315.100EC.CN</w:t>
      </w:r>
      <w:r>
        <w:rPr>
          <w:rStyle w:val="15"/>
          <w:rFonts w:hint="eastAsia" w:ascii="微软雅黑" w:hAnsi="微软雅黑" w:eastAsia="微软雅黑" w:cs="微软雅黑"/>
          <w:b/>
          <w:bCs/>
          <w:color w:val="5B9BD5" w:themeColor="accent1"/>
          <w:sz w:val="28"/>
          <w:szCs w:val="28"/>
          <w14:textFill>
            <w14:solidFill>
              <w14:schemeClr w14:val="accent1"/>
            </w14:solidFill>
          </w14:textFill>
        </w:rPr>
        <w:fldChar w:fldCharType="end"/>
      </w:r>
      <w:r>
        <w:rPr>
          <w:rFonts w:hint="eastAsia" w:ascii="微软雅黑" w:hAnsi="微软雅黑" w:eastAsia="微软雅黑" w:cs="微软雅黑"/>
          <w:b/>
          <w:bCs/>
          <w:color w:val="5B9BD5" w:themeColor="accent1"/>
          <w:sz w:val="28"/>
          <w:szCs w:val="28"/>
          <w14:textFill>
            <w14:solidFill>
              <w14:schemeClr w14:val="accent1"/>
            </w14:solidFill>
          </w14:textFill>
        </w:rPr>
        <w:t>）</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53E0A434">
      <w:pPr>
        <w:pStyle w:val="10"/>
        <w:widowControl/>
        <w:spacing w:afterAutospacing="0" w:line="360" w:lineRule="auto"/>
        <w:ind w:firstLine="632" w:firstLineChars="300"/>
      </w:pPr>
      <w:r>
        <w:rPr>
          <w:rFonts w:hint="eastAsia" w:ascii="宋体" w:hAnsi="宋体" w:eastAsia="宋体" w:cs="宋体"/>
          <w:b/>
          <w:bCs/>
          <w:color w:val="5B9BD5" w:themeColor="accent1"/>
          <w:sz w:val="21"/>
          <w:szCs w:val="21"/>
          <w14:textFill>
            <w14:solidFill>
              <w14:schemeClr w14:val="accent1"/>
            </w14:solidFill>
          </w14:textFill>
        </w:rPr>
        <w:t>（商家反向维权通道）                            （消费者投诉通道）</w:t>
      </w:r>
    </w:p>
    <w:p w14:paraId="6C08526D">
      <w:pPr>
        <w:spacing w:before="156" w:beforeLines="50" w:line="360" w:lineRule="auto"/>
        <w:jc w:val="left"/>
        <w:rPr>
          <w:rFonts w:ascii="宋体" w:hAnsi="宋体" w:cs="宋体"/>
          <w:sz w:val="24"/>
        </w:rPr>
      </w:pPr>
      <w:r>
        <w:drawing>
          <wp:inline distT="0" distB="0" distL="114300" distR="114300">
            <wp:extent cx="1783080" cy="1763395"/>
            <wp:effectExtent l="0" t="0" r="7620" b="190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5"/>
                    <a:srcRect b="2455"/>
                    <a:stretch>
                      <a:fillRect/>
                    </a:stretch>
                  </pic:blipFill>
                  <pic:spPr>
                    <a:xfrm>
                      <a:off x="0" y="0"/>
                      <a:ext cx="1783080" cy="1763395"/>
                    </a:xfrm>
                    <a:prstGeom prst="rect">
                      <a:avLst/>
                    </a:prstGeom>
                    <a:noFill/>
                    <a:ln>
                      <a:noFill/>
                    </a:ln>
                  </pic:spPr>
                </pic:pic>
              </a:graphicData>
            </a:graphic>
          </wp:inline>
        </w:drawing>
      </w:r>
      <w:r>
        <w:rPr>
          <w:rFonts w:hint="eastAsia" w:ascii="微软雅黑" w:hAnsi="微软雅黑" w:eastAsia="微软雅黑" w:cs="微软雅黑"/>
          <w:b/>
          <w:bCs/>
          <w:sz w:val="28"/>
          <w:szCs w:val="28"/>
        </w:rPr>
        <w:t xml:space="preserve">              </w:t>
      </w:r>
      <w:r>
        <w:rPr>
          <w:rFonts w:ascii="微软雅黑" w:hAnsi="微软雅黑" w:eastAsia="微软雅黑" w:cs="微软雅黑"/>
          <w:b/>
          <w:bCs/>
          <w:sz w:val="28"/>
          <w:szCs w:val="28"/>
        </w:rPr>
        <w:t xml:space="preserve">  </w:t>
      </w:r>
      <w:r>
        <w:rPr>
          <w:rFonts w:hint="eastAsia" w:ascii="微软雅黑" w:hAnsi="微软雅黑" w:eastAsia="微软雅黑" w:cs="微软雅黑"/>
          <w:b/>
          <w:bCs/>
          <w:sz w:val="28"/>
          <w:szCs w:val="28"/>
        </w:rPr>
        <w:t xml:space="preserve"> </w:t>
      </w:r>
      <w:r>
        <w:rPr>
          <w:rFonts w:hint="eastAsia" w:ascii="微软雅黑" w:hAnsi="微软雅黑" w:eastAsia="微软雅黑" w:cs="微软雅黑"/>
          <w:b/>
          <w:bCs/>
          <w:sz w:val="28"/>
          <w:szCs w:val="28"/>
        </w:rPr>
        <w:drawing>
          <wp:inline distT="0" distB="0" distL="114300" distR="114300">
            <wp:extent cx="1687830" cy="1683385"/>
            <wp:effectExtent l="0" t="0" r="1270" b="5715"/>
            <wp:docPr id="39" name="图片 8" descr="电诉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descr="电诉宝"/>
                    <pic:cNvPicPr>
                      <a:picLocks noChangeAspect="1"/>
                    </pic:cNvPicPr>
                  </pic:nvPicPr>
                  <pic:blipFill>
                    <a:blip r:embed="rId26" cstate="print"/>
                    <a:stretch>
                      <a:fillRect/>
                    </a:stretch>
                  </pic:blipFill>
                  <pic:spPr>
                    <a:xfrm>
                      <a:off x="0" y="0"/>
                      <a:ext cx="1687830" cy="1683385"/>
                    </a:xfrm>
                    <a:prstGeom prst="rect">
                      <a:avLst/>
                    </a:prstGeom>
                  </pic:spPr>
                </pic:pic>
              </a:graphicData>
            </a:graphic>
          </wp:inline>
        </w:drawing>
      </w:r>
    </w:p>
    <w:p w14:paraId="164F2340">
      <w:pPr>
        <w:spacing w:before="156" w:beforeLines="50" w:line="360" w:lineRule="auto"/>
        <w:jc w:val="left"/>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28275288"/>
      <w:docPartObj>
        <w:docPartGallery w:val="autotext"/>
      </w:docPartObj>
    </w:sdtPr>
    <w:sdtContent>
      <w:p w14:paraId="390BABC4">
        <w:pPr>
          <w:pStyle w:val="6"/>
          <w:jc w:val="center"/>
        </w:pPr>
        <w:r>
          <w:fldChar w:fldCharType="begin"/>
        </w:r>
        <w:r>
          <w:instrText xml:space="preserve">PAGE   \* MERGEFORMAT</w:instrText>
        </w:r>
        <w:r>
          <w:fldChar w:fldCharType="separate"/>
        </w:r>
        <w:r>
          <w:rPr>
            <w:lang w:val="zh-CN"/>
          </w:rPr>
          <w:t>2</w:t>
        </w:r>
        <w:r>
          <w:fldChar w:fldCharType="end"/>
        </w:r>
      </w:p>
    </w:sdtContent>
  </w:sdt>
  <w:p w14:paraId="0FC94AB5">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E1424">
    <w:pPr>
      <w:pStyle w:val="7"/>
    </w:pPr>
    <w:r>
      <w:drawing>
        <wp:inline distT="0" distB="0" distL="114300" distR="114300">
          <wp:extent cx="1906270" cy="310515"/>
          <wp:effectExtent l="19050" t="0" r="0" b="0"/>
          <wp:docPr id="14" name="图片 2" descr="C:\Users\Administrator\Desktop\网经社电子商务研究中心改.png网经社电子商务研究中心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C:\Users\Administrator\Desktop\网经社电子商务研究中心改.png网经社电子商务研究中心改"/>
                  <pic:cNvPicPr>
                    <a:picLocks noChangeAspect="1"/>
                  </pic:cNvPicPr>
                </pic:nvPicPr>
                <pic:blipFill>
                  <a:blip r:embed="rId1"/>
                  <a:srcRect/>
                  <a:stretch>
                    <a:fillRect/>
                  </a:stretch>
                </pic:blipFill>
                <pic:spPr>
                  <a:xfrm>
                    <a:off x="0" y="0"/>
                    <a:ext cx="1926602" cy="313779"/>
                  </a:xfrm>
                  <a:prstGeom prst="rect">
                    <a:avLst/>
                  </a:prstGeom>
                  <a:noFill/>
                  <a:ln>
                    <a:noFill/>
                  </a:ln>
                </pic:spPr>
              </pic:pic>
            </a:graphicData>
          </a:graphic>
        </wp:inline>
      </w:drawing>
    </w:r>
    <w:r>
      <w:rPr>
        <w:rFonts w:hint="eastAsia" w:ascii="Times New Roman" w:eastAsia="宋体"/>
      </w:rPr>
      <w:t xml:space="preserve">                                     </w:t>
    </w:r>
    <w:r>
      <w:rPr>
        <w:rFonts w:hint="eastAsia" w:ascii="Times New Roman" w:eastAsia="宋体"/>
      </w:rPr>
      <w:drawing>
        <wp:inline distT="0" distB="0" distL="114300" distR="114300">
          <wp:extent cx="1219200" cy="561975"/>
          <wp:effectExtent l="0" t="0" r="0" b="0"/>
          <wp:docPr id="17" name="图片 15" descr="电诉宝准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电诉宝准Logo(1)"/>
                  <pic:cNvPicPr>
                    <a:picLocks noChangeAspect="1"/>
                  </pic:cNvPicPr>
                </pic:nvPicPr>
                <pic:blipFill>
                  <a:blip r:embed="rId2"/>
                  <a:srcRect/>
                  <a:stretch>
                    <a:fillRect/>
                  </a:stretch>
                </pic:blipFill>
                <pic:spPr>
                  <a:xfrm>
                    <a:off x="0" y="0"/>
                    <a:ext cx="1219200" cy="56197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0CC068"/>
    <w:multiLevelType w:val="singleLevel"/>
    <w:tmpl w:val="BD0CC068"/>
    <w:lvl w:ilvl="0" w:tentative="0">
      <w:start w:val="1"/>
      <w:numFmt w:val="chineseCounting"/>
      <w:suff w:val="nothing"/>
      <w:lvlText w:val="（%1）"/>
      <w:lvlJc w:val="left"/>
      <w:rPr>
        <w:rFonts w:hint="eastAsia"/>
      </w:rPr>
    </w:lvl>
  </w:abstractNum>
  <w:abstractNum w:abstractNumId="1">
    <w:nsid w:val="EABFBC2D"/>
    <w:multiLevelType w:val="singleLevel"/>
    <w:tmpl w:val="EABFBC2D"/>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U2MjFhNzA3MjA5Y2ZlZjVlZTE3OGUwZWNiZjIyZjkifQ=="/>
  </w:docVars>
  <w:rsids>
    <w:rsidRoot w:val="00172A27"/>
    <w:rsid w:val="000008FE"/>
    <w:rsid w:val="00001BFC"/>
    <w:rsid w:val="000113DD"/>
    <w:rsid w:val="0001523C"/>
    <w:rsid w:val="00022A41"/>
    <w:rsid w:val="00024318"/>
    <w:rsid w:val="00024708"/>
    <w:rsid w:val="00027772"/>
    <w:rsid w:val="00031D32"/>
    <w:rsid w:val="00040EE7"/>
    <w:rsid w:val="00045055"/>
    <w:rsid w:val="00052676"/>
    <w:rsid w:val="0005588A"/>
    <w:rsid w:val="000578EB"/>
    <w:rsid w:val="00057B66"/>
    <w:rsid w:val="00060344"/>
    <w:rsid w:val="000609C7"/>
    <w:rsid w:val="00062F0B"/>
    <w:rsid w:val="00066BFD"/>
    <w:rsid w:val="00070D28"/>
    <w:rsid w:val="00077241"/>
    <w:rsid w:val="000774B4"/>
    <w:rsid w:val="00081BA7"/>
    <w:rsid w:val="00084B7B"/>
    <w:rsid w:val="000870EE"/>
    <w:rsid w:val="00090368"/>
    <w:rsid w:val="00092D0C"/>
    <w:rsid w:val="00092D4D"/>
    <w:rsid w:val="000948D8"/>
    <w:rsid w:val="00095F6C"/>
    <w:rsid w:val="000A238D"/>
    <w:rsid w:val="000B18FD"/>
    <w:rsid w:val="000B2382"/>
    <w:rsid w:val="000B38E1"/>
    <w:rsid w:val="000B6AFD"/>
    <w:rsid w:val="000C45FA"/>
    <w:rsid w:val="000C748D"/>
    <w:rsid w:val="000C7EFF"/>
    <w:rsid w:val="000D3D75"/>
    <w:rsid w:val="000E7E9A"/>
    <w:rsid w:val="000F0E33"/>
    <w:rsid w:val="000F1BFF"/>
    <w:rsid w:val="000F2F89"/>
    <w:rsid w:val="000F3A20"/>
    <w:rsid w:val="000F5277"/>
    <w:rsid w:val="00100D7B"/>
    <w:rsid w:val="00106BDB"/>
    <w:rsid w:val="00110989"/>
    <w:rsid w:val="00114BC4"/>
    <w:rsid w:val="00121912"/>
    <w:rsid w:val="00135094"/>
    <w:rsid w:val="00137874"/>
    <w:rsid w:val="00143765"/>
    <w:rsid w:val="0014589E"/>
    <w:rsid w:val="0014763C"/>
    <w:rsid w:val="001507E7"/>
    <w:rsid w:val="00172A27"/>
    <w:rsid w:val="00174913"/>
    <w:rsid w:val="0018092F"/>
    <w:rsid w:val="00181175"/>
    <w:rsid w:val="00185E42"/>
    <w:rsid w:val="001A0F9E"/>
    <w:rsid w:val="001A2C0D"/>
    <w:rsid w:val="001A2FAE"/>
    <w:rsid w:val="001A490F"/>
    <w:rsid w:val="001A598D"/>
    <w:rsid w:val="001B0E53"/>
    <w:rsid w:val="001B1647"/>
    <w:rsid w:val="001B1CA9"/>
    <w:rsid w:val="001B4DFC"/>
    <w:rsid w:val="001B640F"/>
    <w:rsid w:val="001C0E82"/>
    <w:rsid w:val="001D037E"/>
    <w:rsid w:val="001F267B"/>
    <w:rsid w:val="001F305F"/>
    <w:rsid w:val="001F3ADA"/>
    <w:rsid w:val="0020149F"/>
    <w:rsid w:val="00203394"/>
    <w:rsid w:val="002133FF"/>
    <w:rsid w:val="002233BE"/>
    <w:rsid w:val="00231209"/>
    <w:rsid w:val="00232778"/>
    <w:rsid w:val="00232945"/>
    <w:rsid w:val="00233340"/>
    <w:rsid w:val="00236778"/>
    <w:rsid w:val="00237513"/>
    <w:rsid w:val="00240BAB"/>
    <w:rsid w:val="00241538"/>
    <w:rsid w:val="0024364A"/>
    <w:rsid w:val="00263BB2"/>
    <w:rsid w:val="0026632D"/>
    <w:rsid w:val="00267944"/>
    <w:rsid w:val="002817A7"/>
    <w:rsid w:val="00282E9B"/>
    <w:rsid w:val="00286668"/>
    <w:rsid w:val="00287175"/>
    <w:rsid w:val="002A37D6"/>
    <w:rsid w:val="002A512B"/>
    <w:rsid w:val="002A6ABB"/>
    <w:rsid w:val="002B022F"/>
    <w:rsid w:val="002B33EE"/>
    <w:rsid w:val="002B5A9D"/>
    <w:rsid w:val="002C0CC5"/>
    <w:rsid w:val="002C2531"/>
    <w:rsid w:val="002C3945"/>
    <w:rsid w:val="002C4FEF"/>
    <w:rsid w:val="002D131C"/>
    <w:rsid w:val="002D1B79"/>
    <w:rsid w:val="002D4E34"/>
    <w:rsid w:val="002D7267"/>
    <w:rsid w:val="002E2243"/>
    <w:rsid w:val="002E40B9"/>
    <w:rsid w:val="002F6AEE"/>
    <w:rsid w:val="002F798E"/>
    <w:rsid w:val="0030430B"/>
    <w:rsid w:val="00305219"/>
    <w:rsid w:val="00305E4E"/>
    <w:rsid w:val="00310FC1"/>
    <w:rsid w:val="0031144E"/>
    <w:rsid w:val="00311B53"/>
    <w:rsid w:val="003131E4"/>
    <w:rsid w:val="00315336"/>
    <w:rsid w:val="00316B92"/>
    <w:rsid w:val="0031705E"/>
    <w:rsid w:val="003177D5"/>
    <w:rsid w:val="00320504"/>
    <w:rsid w:val="00331589"/>
    <w:rsid w:val="00332768"/>
    <w:rsid w:val="0033459C"/>
    <w:rsid w:val="003355D5"/>
    <w:rsid w:val="00335CA8"/>
    <w:rsid w:val="003360A6"/>
    <w:rsid w:val="00336475"/>
    <w:rsid w:val="00347364"/>
    <w:rsid w:val="00351278"/>
    <w:rsid w:val="00352D0D"/>
    <w:rsid w:val="00357229"/>
    <w:rsid w:val="00363524"/>
    <w:rsid w:val="0036560C"/>
    <w:rsid w:val="00373A68"/>
    <w:rsid w:val="00381240"/>
    <w:rsid w:val="00382DF8"/>
    <w:rsid w:val="003924C0"/>
    <w:rsid w:val="003933D2"/>
    <w:rsid w:val="00393BDB"/>
    <w:rsid w:val="00394FD0"/>
    <w:rsid w:val="00395CAE"/>
    <w:rsid w:val="003A1228"/>
    <w:rsid w:val="003A2B0F"/>
    <w:rsid w:val="003B0B4E"/>
    <w:rsid w:val="003B52DA"/>
    <w:rsid w:val="003C0A5A"/>
    <w:rsid w:val="003C1095"/>
    <w:rsid w:val="003C4517"/>
    <w:rsid w:val="003D5F1E"/>
    <w:rsid w:val="003D7267"/>
    <w:rsid w:val="003E1302"/>
    <w:rsid w:val="003E39A5"/>
    <w:rsid w:val="003E4A7D"/>
    <w:rsid w:val="003F24F5"/>
    <w:rsid w:val="003F2DD1"/>
    <w:rsid w:val="003F3CF1"/>
    <w:rsid w:val="003F610D"/>
    <w:rsid w:val="003F6342"/>
    <w:rsid w:val="003F7181"/>
    <w:rsid w:val="0040263D"/>
    <w:rsid w:val="00406F38"/>
    <w:rsid w:val="004071AC"/>
    <w:rsid w:val="004078E2"/>
    <w:rsid w:val="00414BA1"/>
    <w:rsid w:val="00417EEA"/>
    <w:rsid w:val="00417FC3"/>
    <w:rsid w:val="00420234"/>
    <w:rsid w:val="004206DE"/>
    <w:rsid w:val="00421E46"/>
    <w:rsid w:val="0042617E"/>
    <w:rsid w:val="00426B42"/>
    <w:rsid w:val="004275B5"/>
    <w:rsid w:val="00430B91"/>
    <w:rsid w:val="00431415"/>
    <w:rsid w:val="00433E0E"/>
    <w:rsid w:val="0043479C"/>
    <w:rsid w:val="004363A2"/>
    <w:rsid w:val="00437DCC"/>
    <w:rsid w:val="004418D6"/>
    <w:rsid w:val="00441C53"/>
    <w:rsid w:val="00442076"/>
    <w:rsid w:val="004463C1"/>
    <w:rsid w:val="004524AD"/>
    <w:rsid w:val="00453D96"/>
    <w:rsid w:val="00456918"/>
    <w:rsid w:val="00457E14"/>
    <w:rsid w:val="00460B5C"/>
    <w:rsid w:val="004615D7"/>
    <w:rsid w:val="00462FC3"/>
    <w:rsid w:val="00463E71"/>
    <w:rsid w:val="004660E8"/>
    <w:rsid w:val="00467C40"/>
    <w:rsid w:val="00471804"/>
    <w:rsid w:val="00475A47"/>
    <w:rsid w:val="00476927"/>
    <w:rsid w:val="004803D0"/>
    <w:rsid w:val="00480B45"/>
    <w:rsid w:val="00481304"/>
    <w:rsid w:val="004847C5"/>
    <w:rsid w:val="00487A4F"/>
    <w:rsid w:val="00491987"/>
    <w:rsid w:val="00493AC9"/>
    <w:rsid w:val="0049573A"/>
    <w:rsid w:val="00495980"/>
    <w:rsid w:val="00496E7C"/>
    <w:rsid w:val="00497E01"/>
    <w:rsid w:val="004A7F6B"/>
    <w:rsid w:val="004C0D35"/>
    <w:rsid w:val="004C2AFB"/>
    <w:rsid w:val="004D1AD6"/>
    <w:rsid w:val="004F0D1F"/>
    <w:rsid w:val="004F13A3"/>
    <w:rsid w:val="004F1973"/>
    <w:rsid w:val="004F2237"/>
    <w:rsid w:val="00500B73"/>
    <w:rsid w:val="005038A6"/>
    <w:rsid w:val="00503BA3"/>
    <w:rsid w:val="00505A8A"/>
    <w:rsid w:val="00505F58"/>
    <w:rsid w:val="00512357"/>
    <w:rsid w:val="00512739"/>
    <w:rsid w:val="005201E7"/>
    <w:rsid w:val="0052020C"/>
    <w:rsid w:val="00520BD5"/>
    <w:rsid w:val="00536884"/>
    <w:rsid w:val="00536BB5"/>
    <w:rsid w:val="0055110B"/>
    <w:rsid w:val="005524AF"/>
    <w:rsid w:val="00561BCA"/>
    <w:rsid w:val="00562893"/>
    <w:rsid w:val="005673C8"/>
    <w:rsid w:val="00570602"/>
    <w:rsid w:val="00570EC1"/>
    <w:rsid w:val="00570EE9"/>
    <w:rsid w:val="00571DEE"/>
    <w:rsid w:val="00586AF8"/>
    <w:rsid w:val="005878B3"/>
    <w:rsid w:val="0059087B"/>
    <w:rsid w:val="005917F5"/>
    <w:rsid w:val="00593198"/>
    <w:rsid w:val="00596438"/>
    <w:rsid w:val="00597557"/>
    <w:rsid w:val="005A6F26"/>
    <w:rsid w:val="005A7139"/>
    <w:rsid w:val="005B1B10"/>
    <w:rsid w:val="005B391D"/>
    <w:rsid w:val="005B41DF"/>
    <w:rsid w:val="005B5B1F"/>
    <w:rsid w:val="005B6FF5"/>
    <w:rsid w:val="005B7C98"/>
    <w:rsid w:val="005C100B"/>
    <w:rsid w:val="005C1AB5"/>
    <w:rsid w:val="005C2063"/>
    <w:rsid w:val="005C425B"/>
    <w:rsid w:val="005C63A2"/>
    <w:rsid w:val="005D31FA"/>
    <w:rsid w:val="005F49BD"/>
    <w:rsid w:val="00603F6B"/>
    <w:rsid w:val="0060591A"/>
    <w:rsid w:val="00606788"/>
    <w:rsid w:val="00606F74"/>
    <w:rsid w:val="006075F7"/>
    <w:rsid w:val="00611B4B"/>
    <w:rsid w:val="0061235C"/>
    <w:rsid w:val="006175C7"/>
    <w:rsid w:val="0061776F"/>
    <w:rsid w:val="0062099C"/>
    <w:rsid w:val="006219D1"/>
    <w:rsid w:val="00624479"/>
    <w:rsid w:val="00624B48"/>
    <w:rsid w:val="00625619"/>
    <w:rsid w:val="006269B0"/>
    <w:rsid w:val="006269C2"/>
    <w:rsid w:val="00641843"/>
    <w:rsid w:val="006421B9"/>
    <w:rsid w:val="00642B0D"/>
    <w:rsid w:val="00642C03"/>
    <w:rsid w:val="00644991"/>
    <w:rsid w:val="00645068"/>
    <w:rsid w:val="00647EE3"/>
    <w:rsid w:val="00650A1F"/>
    <w:rsid w:val="00653C57"/>
    <w:rsid w:val="0065457C"/>
    <w:rsid w:val="006606FA"/>
    <w:rsid w:val="00662E0D"/>
    <w:rsid w:val="00663148"/>
    <w:rsid w:val="0066511B"/>
    <w:rsid w:val="006651AC"/>
    <w:rsid w:val="006657F2"/>
    <w:rsid w:val="00675B4B"/>
    <w:rsid w:val="00680538"/>
    <w:rsid w:val="00680E3B"/>
    <w:rsid w:val="00681533"/>
    <w:rsid w:val="00681BD7"/>
    <w:rsid w:val="0068550C"/>
    <w:rsid w:val="00687E2A"/>
    <w:rsid w:val="006915B8"/>
    <w:rsid w:val="006A1BA9"/>
    <w:rsid w:val="006A542D"/>
    <w:rsid w:val="006A5698"/>
    <w:rsid w:val="006A6A47"/>
    <w:rsid w:val="006B5FF3"/>
    <w:rsid w:val="006B628F"/>
    <w:rsid w:val="006C128B"/>
    <w:rsid w:val="006C2E85"/>
    <w:rsid w:val="006C6948"/>
    <w:rsid w:val="006C79E7"/>
    <w:rsid w:val="006D063D"/>
    <w:rsid w:val="006D6608"/>
    <w:rsid w:val="006D78E6"/>
    <w:rsid w:val="006E0E92"/>
    <w:rsid w:val="006E13CA"/>
    <w:rsid w:val="006E21B4"/>
    <w:rsid w:val="006E6D30"/>
    <w:rsid w:val="006F0605"/>
    <w:rsid w:val="006F180E"/>
    <w:rsid w:val="006F4277"/>
    <w:rsid w:val="006F6143"/>
    <w:rsid w:val="006F6760"/>
    <w:rsid w:val="0070080E"/>
    <w:rsid w:val="00700E32"/>
    <w:rsid w:val="007029B6"/>
    <w:rsid w:val="00703309"/>
    <w:rsid w:val="007069A7"/>
    <w:rsid w:val="00707431"/>
    <w:rsid w:val="007115E1"/>
    <w:rsid w:val="007167FD"/>
    <w:rsid w:val="00717616"/>
    <w:rsid w:val="007219D3"/>
    <w:rsid w:val="00723DCD"/>
    <w:rsid w:val="00724E22"/>
    <w:rsid w:val="00725FFD"/>
    <w:rsid w:val="00726C52"/>
    <w:rsid w:val="00734202"/>
    <w:rsid w:val="007412C1"/>
    <w:rsid w:val="00742EF1"/>
    <w:rsid w:val="00754952"/>
    <w:rsid w:val="00762241"/>
    <w:rsid w:val="00767871"/>
    <w:rsid w:val="007725D2"/>
    <w:rsid w:val="007741D6"/>
    <w:rsid w:val="0077675A"/>
    <w:rsid w:val="007768B0"/>
    <w:rsid w:val="00776EAB"/>
    <w:rsid w:val="00782B77"/>
    <w:rsid w:val="00784BDF"/>
    <w:rsid w:val="00786C82"/>
    <w:rsid w:val="00794A6A"/>
    <w:rsid w:val="00796C95"/>
    <w:rsid w:val="007A6D1A"/>
    <w:rsid w:val="007B40D8"/>
    <w:rsid w:val="007B67D2"/>
    <w:rsid w:val="007C0448"/>
    <w:rsid w:val="007C263B"/>
    <w:rsid w:val="007C604F"/>
    <w:rsid w:val="007C60AF"/>
    <w:rsid w:val="007D4553"/>
    <w:rsid w:val="007D4C5A"/>
    <w:rsid w:val="007F427E"/>
    <w:rsid w:val="0080016A"/>
    <w:rsid w:val="0080387B"/>
    <w:rsid w:val="00806B01"/>
    <w:rsid w:val="008108DC"/>
    <w:rsid w:val="00820FBD"/>
    <w:rsid w:val="00822603"/>
    <w:rsid w:val="00826110"/>
    <w:rsid w:val="00826D87"/>
    <w:rsid w:val="00840F4F"/>
    <w:rsid w:val="00842783"/>
    <w:rsid w:val="00845F38"/>
    <w:rsid w:val="008504E0"/>
    <w:rsid w:val="00851103"/>
    <w:rsid w:val="00854B15"/>
    <w:rsid w:val="00855CB6"/>
    <w:rsid w:val="00860EAE"/>
    <w:rsid w:val="008821E2"/>
    <w:rsid w:val="008829CA"/>
    <w:rsid w:val="00883042"/>
    <w:rsid w:val="00884104"/>
    <w:rsid w:val="00890786"/>
    <w:rsid w:val="00891352"/>
    <w:rsid w:val="008924D2"/>
    <w:rsid w:val="00892B2A"/>
    <w:rsid w:val="00896AC5"/>
    <w:rsid w:val="008A08AD"/>
    <w:rsid w:val="008A46DA"/>
    <w:rsid w:val="008A6B1E"/>
    <w:rsid w:val="008A77FB"/>
    <w:rsid w:val="008C21AD"/>
    <w:rsid w:val="008C566F"/>
    <w:rsid w:val="008D216D"/>
    <w:rsid w:val="008D31BA"/>
    <w:rsid w:val="008D33E1"/>
    <w:rsid w:val="008D5233"/>
    <w:rsid w:val="008D6124"/>
    <w:rsid w:val="008D6634"/>
    <w:rsid w:val="008E0338"/>
    <w:rsid w:val="008E25F6"/>
    <w:rsid w:val="008E3FF6"/>
    <w:rsid w:val="008E443A"/>
    <w:rsid w:val="008E4AD9"/>
    <w:rsid w:val="008E58A0"/>
    <w:rsid w:val="008F218A"/>
    <w:rsid w:val="00902240"/>
    <w:rsid w:val="00902CA4"/>
    <w:rsid w:val="00903583"/>
    <w:rsid w:val="00903A87"/>
    <w:rsid w:val="00903ADC"/>
    <w:rsid w:val="00905663"/>
    <w:rsid w:val="009111DF"/>
    <w:rsid w:val="009112C6"/>
    <w:rsid w:val="009179FD"/>
    <w:rsid w:val="009249A2"/>
    <w:rsid w:val="009269E2"/>
    <w:rsid w:val="00927062"/>
    <w:rsid w:val="00927EAB"/>
    <w:rsid w:val="00930208"/>
    <w:rsid w:val="00933E64"/>
    <w:rsid w:val="00935273"/>
    <w:rsid w:val="0093719D"/>
    <w:rsid w:val="009376B2"/>
    <w:rsid w:val="00944A3D"/>
    <w:rsid w:val="00946EB1"/>
    <w:rsid w:val="00951819"/>
    <w:rsid w:val="00952C87"/>
    <w:rsid w:val="0095400C"/>
    <w:rsid w:val="0095439E"/>
    <w:rsid w:val="00954B72"/>
    <w:rsid w:val="00954DAF"/>
    <w:rsid w:val="00955E9B"/>
    <w:rsid w:val="009619B4"/>
    <w:rsid w:val="00961AAA"/>
    <w:rsid w:val="00962B99"/>
    <w:rsid w:val="00963389"/>
    <w:rsid w:val="00965662"/>
    <w:rsid w:val="00971AAB"/>
    <w:rsid w:val="0097440E"/>
    <w:rsid w:val="00975B5A"/>
    <w:rsid w:val="00982D36"/>
    <w:rsid w:val="00984359"/>
    <w:rsid w:val="00985630"/>
    <w:rsid w:val="009A1A53"/>
    <w:rsid w:val="009A2296"/>
    <w:rsid w:val="009A2653"/>
    <w:rsid w:val="009A27A9"/>
    <w:rsid w:val="009B339E"/>
    <w:rsid w:val="009B33E5"/>
    <w:rsid w:val="009B56BD"/>
    <w:rsid w:val="009B5D67"/>
    <w:rsid w:val="009B686D"/>
    <w:rsid w:val="009B717C"/>
    <w:rsid w:val="009C3B46"/>
    <w:rsid w:val="009C46F4"/>
    <w:rsid w:val="009C55E1"/>
    <w:rsid w:val="009C59AA"/>
    <w:rsid w:val="009C5D07"/>
    <w:rsid w:val="009D28F2"/>
    <w:rsid w:val="009D2EB1"/>
    <w:rsid w:val="009D54ED"/>
    <w:rsid w:val="009E112D"/>
    <w:rsid w:val="009E167D"/>
    <w:rsid w:val="009E276B"/>
    <w:rsid w:val="009E3C6E"/>
    <w:rsid w:val="009E49BD"/>
    <w:rsid w:val="009E7331"/>
    <w:rsid w:val="009F050F"/>
    <w:rsid w:val="009F2A1A"/>
    <w:rsid w:val="009F491D"/>
    <w:rsid w:val="00A01BC8"/>
    <w:rsid w:val="00A01C70"/>
    <w:rsid w:val="00A02DA6"/>
    <w:rsid w:val="00A05D43"/>
    <w:rsid w:val="00A13463"/>
    <w:rsid w:val="00A13E9F"/>
    <w:rsid w:val="00A15788"/>
    <w:rsid w:val="00A157FC"/>
    <w:rsid w:val="00A1664A"/>
    <w:rsid w:val="00A2796B"/>
    <w:rsid w:val="00A311B3"/>
    <w:rsid w:val="00A321B7"/>
    <w:rsid w:val="00A367B5"/>
    <w:rsid w:val="00A36924"/>
    <w:rsid w:val="00A424AD"/>
    <w:rsid w:val="00A443FF"/>
    <w:rsid w:val="00A46067"/>
    <w:rsid w:val="00A60FDC"/>
    <w:rsid w:val="00A61958"/>
    <w:rsid w:val="00A61B28"/>
    <w:rsid w:val="00A67AC4"/>
    <w:rsid w:val="00A71302"/>
    <w:rsid w:val="00A7235F"/>
    <w:rsid w:val="00A83D30"/>
    <w:rsid w:val="00A84678"/>
    <w:rsid w:val="00A848A2"/>
    <w:rsid w:val="00A850EE"/>
    <w:rsid w:val="00A86A2A"/>
    <w:rsid w:val="00A91C45"/>
    <w:rsid w:val="00A93BC6"/>
    <w:rsid w:val="00A9793C"/>
    <w:rsid w:val="00AA286E"/>
    <w:rsid w:val="00AA3CB0"/>
    <w:rsid w:val="00AA6A95"/>
    <w:rsid w:val="00AB5C02"/>
    <w:rsid w:val="00AC09A0"/>
    <w:rsid w:val="00AC0F2B"/>
    <w:rsid w:val="00AC7362"/>
    <w:rsid w:val="00AC7DC7"/>
    <w:rsid w:val="00AD0E2F"/>
    <w:rsid w:val="00AD229E"/>
    <w:rsid w:val="00AD6C19"/>
    <w:rsid w:val="00AD7359"/>
    <w:rsid w:val="00AD7AE1"/>
    <w:rsid w:val="00AE030F"/>
    <w:rsid w:val="00AE110D"/>
    <w:rsid w:val="00AE22E9"/>
    <w:rsid w:val="00AE29D9"/>
    <w:rsid w:val="00AE3068"/>
    <w:rsid w:val="00AE5089"/>
    <w:rsid w:val="00AF3CC4"/>
    <w:rsid w:val="00AF3CF9"/>
    <w:rsid w:val="00AF4ED5"/>
    <w:rsid w:val="00B00782"/>
    <w:rsid w:val="00B033FF"/>
    <w:rsid w:val="00B050C7"/>
    <w:rsid w:val="00B05EF4"/>
    <w:rsid w:val="00B07FE0"/>
    <w:rsid w:val="00B106C1"/>
    <w:rsid w:val="00B1127A"/>
    <w:rsid w:val="00B12984"/>
    <w:rsid w:val="00B12A75"/>
    <w:rsid w:val="00B13BA1"/>
    <w:rsid w:val="00B1452C"/>
    <w:rsid w:val="00B15B71"/>
    <w:rsid w:val="00B169D5"/>
    <w:rsid w:val="00B20FDB"/>
    <w:rsid w:val="00B219CB"/>
    <w:rsid w:val="00B22A9D"/>
    <w:rsid w:val="00B23C38"/>
    <w:rsid w:val="00B255EE"/>
    <w:rsid w:val="00B25E92"/>
    <w:rsid w:val="00B31654"/>
    <w:rsid w:val="00B31F52"/>
    <w:rsid w:val="00B336BD"/>
    <w:rsid w:val="00B344D0"/>
    <w:rsid w:val="00B36173"/>
    <w:rsid w:val="00B43C4D"/>
    <w:rsid w:val="00B44E6C"/>
    <w:rsid w:val="00B4701D"/>
    <w:rsid w:val="00B56EA7"/>
    <w:rsid w:val="00B61949"/>
    <w:rsid w:val="00B62268"/>
    <w:rsid w:val="00B639D9"/>
    <w:rsid w:val="00B727F2"/>
    <w:rsid w:val="00B73E63"/>
    <w:rsid w:val="00B822D6"/>
    <w:rsid w:val="00B87B13"/>
    <w:rsid w:val="00B9192B"/>
    <w:rsid w:val="00B939F7"/>
    <w:rsid w:val="00B94A19"/>
    <w:rsid w:val="00B95A82"/>
    <w:rsid w:val="00B97DA4"/>
    <w:rsid w:val="00BB08AF"/>
    <w:rsid w:val="00BC2F1C"/>
    <w:rsid w:val="00BC4F96"/>
    <w:rsid w:val="00BC5694"/>
    <w:rsid w:val="00BD28C8"/>
    <w:rsid w:val="00BD353F"/>
    <w:rsid w:val="00BD5AB3"/>
    <w:rsid w:val="00BD66B6"/>
    <w:rsid w:val="00BE0F61"/>
    <w:rsid w:val="00BE62F7"/>
    <w:rsid w:val="00BF0882"/>
    <w:rsid w:val="00BF4239"/>
    <w:rsid w:val="00C009B7"/>
    <w:rsid w:val="00C03C0D"/>
    <w:rsid w:val="00C03C78"/>
    <w:rsid w:val="00C04F8B"/>
    <w:rsid w:val="00C135CC"/>
    <w:rsid w:val="00C173BA"/>
    <w:rsid w:val="00C2068C"/>
    <w:rsid w:val="00C2320B"/>
    <w:rsid w:val="00C25B4D"/>
    <w:rsid w:val="00C303C6"/>
    <w:rsid w:val="00C321A9"/>
    <w:rsid w:val="00C32F10"/>
    <w:rsid w:val="00C36C0F"/>
    <w:rsid w:val="00C37A56"/>
    <w:rsid w:val="00C41091"/>
    <w:rsid w:val="00C44F8B"/>
    <w:rsid w:val="00C45F65"/>
    <w:rsid w:val="00C50204"/>
    <w:rsid w:val="00C57DEA"/>
    <w:rsid w:val="00C71843"/>
    <w:rsid w:val="00C7323A"/>
    <w:rsid w:val="00C766A6"/>
    <w:rsid w:val="00C76CF7"/>
    <w:rsid w:val="00C921F9"/>
    <w:rsid w:val="00C92719"/>
    <w:rsid w:val="00C93084"/>
    <w:rsid w:val="00C97938"/>
    <w:rsid w:val="00CA52D9"/>
    <w:rsid w:val="00CA60C2"/>
    <w:rsid w:val="00CB0059"/>
    <w:rsid w:val="00CB113E"/>
    <w:rsid w:val="00CB5DD6"/>
    <w:rsid w:val="00CB7ACF"/>
    <w:rsid w:val="00CC05E8"/>
    <w:rsid w:val="00CC1939"/>
    <w:rsid w:val="00CC4393"/>
    <w:rsid w:val="00CC4983"/>
    <w:rsid w:val="00CC759E"/>
    <w:rsid w:val="00CD7C8F"/>
    <w:rsid w:val="00CF7531"/>
    <w:rsid w:val="00D02BA9"/>
    <w:rsid w:val="00D0512E"/>
    <w:rsid w:val="00D07206"/>
    <w:rsid w:val="00D11F54"/>
    <w:rsid w:val="00D120C6"/>
    <w:rsid w:val="00D12EC2"/>
    <w:rsid w:val="00D14879"/>
    <w:rsid w:val="00D168A2"/>
    <w:rsid w:val="00D17F41"/>
    <w:rsid w:val="00D20CB4"/>
    <w:rsid w:val="00D333C3"/>
    <w:rsid w:val="00D33875"/>
    <w:rsid w:val="00D36FFD"/>
    <w:rsid w:val="00D51434"/>
    <w:rsid w:val="00D63AEF"/>
    <w:rsid w:val="00D67E79"/>
    <w:rsid w:val="00D820E7"/>
    <w:rsid w:val="00D825F1"/>
    <w:rsid w:val="00D8395F"/>
    <w:rsid w:val="00D860C0"/>
    <w:rsid w:val="00D90CD4"/>
    <w:rsid w:val="00D9562C"/>
    <w:rsid w:val="00D96666"/>
    <w:rsid w:val="00DA00A0"/>
    <w:rsid w:val="00DA3040"/>
    <w:rsid w:val="00DA5DB7"/>
    <w:rsid w:val="00DB0884"/>
    <w:rsid w:val="00DB1BFA"/>
    <w:rsid w:val="00DC08FF"/>
    <w:rsid w:val="00DC0EEA"/>
    <w:rsid w:val="00DC434B"/>
    <w:rsid w:val="00DC6DAB"/>
    <w:rsid w:val="00DD596C"/>
    <w:rsid w:val="00DD6F19"/>
    <w:rsid w:val="00DD71B2"/>
    <w:rsid w:val="00DE5C5E"/>
    <w:rsid w:val="00DE790B"/>
    <w:rsid w:val="00DF122A"/>
    <w:rsid w:val="00DF1980"/>
    <w:rsid w:val="00DF3B78"/>
    <w:rsid w:val="00DF56BD"/>
    <w:rsid w:val="00E0386A"/>
    <w:rsid w:val="00E07E72"/>
    <w:rsid w:val="00E14F45"/>
    <w:rsid w:val="00E30650"/>
    <w:rsid w:val="00E306AE"/>
    <w:rsid w:val="00E31FCA"/>
    <w:rsid w:val="00E35002"/>
    <w:rsid w:val="00E35B3E"/>
    <w:rsid w:val="00E36D2B"/>
    <w:rsid w:val="00E404C9"/>
    <w:rsid w:val="00E54978"/>
    <w:rsid w:val="00E57064"/>
    <w:rsid w:val="00E61139"/>
    <w:rsid w:val="00E620CC"/>
    <w:rsid w:val="00E6241A"/>
    <w:rsid w:val="00E63939"/>
    <w:rsid w:val="00E668AD"/>
    <w:rsid w:val="00E72D18"/>
    <w:rsid w:val="00E73E4A"/>
    <w:rsid w:val="00E74CD2"/>
    <w:rsid w:val="00E806D2"/>
    <w:rsid w:val="00E8355A"/>
    <w:rsid w:val="00E95FBE"/>
    <w:rsid w:val="00EA192D"/>
    <w:rsid w:val="00EA6ECA"/>
    <w:rsid w:val="00EA75DC"/>
    <w:rsid w:val="00EB3E60"/>
    <w:rsid w:val="00EC1569"/>
    <w:rsid w:val="00EC4292"/>
    <w:rsid w:val="00ED6987"/>
    <w:rsid w:val="00EE59D0"/>
    <w:rsid w:val="00EE5B80"/>
    <w:rsid w:val="00EE6032"/>
    <w:rsid w:val="00EE6251"/>
    <w:rsid w:val="00EF403E"/>
    <w:rsid w:val="00F13285"/>
    <w:rsid w:val="00F1668B"/>
    <w:rsid w:val="00F17207"/>
    <w:rsid w:val="00F2320C"/>
    <w:rsid w:val="00F25697"/>
    <w:rsid w:val="00F325E6"/>
    <w:rsid w:val="00F367BD"/>
    <w:rsid w:val="00F409CB"/>
    <w:rsid w:val="00F51368"/>
    <w:rsid w:val="00F541A8"/>
    <w:rsid w:val="00F54C10"/>
    <w:rsid w:val="00F60241"/>
    <w:rsid w:val="00F61D20"/>
    <w:rsid w:val="00F6625B"/>
    <w:rsid w:val="00F670B7"/>
    <w:rsid w:val="00F73EF9"/>
    <w:rsid w:val="00F7711E"/>
    <w:rsid w:val="00F847B5"/>
    <w:rsid w:val="00F96869"/>
    <w:rsid w:val="00FA2361"/>
    <w:rsid w:val="00FA251E"/>
    <w:rsid w:val="00FA4540"/>
    <w:rsid w:val="00FB56EF"/>
    <w:rsid w:val="00FB5BF6"/>
    <w:rsid w:val="00FB5ED0"/>
    <w:rsid w:val="00FB6C25"/>
    <w:rsid w:val="00FC038C"/>
    <w:rsid w:val="00FC2B14"/>
    <w:rsid w:val="00FC4BBB"/>
    <w:rsid w:val="00FC660E"/>
    <w:rsid w:val="00FC6C70"/>
    <w:rsid w:val="00FD0DC6"/>
    <w:rsid w:val="00FD1268"/>
    <w:rsid w:val="00FD7502"/>
    <w:rsid w:val="00FE5D17"/>
    <w:rsid w:val="00FE7A90"/>
    <w:rsid w:val="00FF0FBC"/>
    <w:rsid w:val="00FF43A6"/>
    <w:rsid w:val="0194674A"/>
    <w:rsid w:val="01B4643F"/>
    <w:rsid w:val="01CE280C"/>
    <w:rsid w:val="02304E24"/>
    <w:rsid w:val="02994853"/>
    <w:rsid w:val="03A90A63"/>
    <w:rsid w:val="03F82FC0"/>
    <w:rsid w:val="04363C8E"/>
    <w:rsid w:val="047C6D6D"/>
    <w:rsid w:val="054D10EA"/>
    <w:rsid w:val="05587CC8"/>
    <w:rsid w:val="05E23258"/>
    <w:rsid w:val="067F0936"/>
    <w:rsid w:val="072A19D5"/>
    <w:rsid w:val="072D15C8"/>
    <w:rsid w:val="083F54F9"/>
    <w:rsid w:val="08413769"/>
    <w:rsid w:val="087F6E1A"/>
    <w:rsid w:val="099A5001"/>
    <w:rsid w:val="0A195C1F"/>
    <w:rsid w:val="0A4C126F"/>
    <w:rsid w:val="0A8E1890"/>
    <w:rsid w:val="0B487268"/>
    <w:rsid w:val="0B760304"/>
    <w:rsid w:val="0B7A5DF9"/>
    <w:rsid w:val="0B8F162E"/>
    <w:rsid w:val="0BB2494C"/>
    <w:rsid w:val="0BB90FF9"/>
    <w:rsid w:val="0BFB3BB6"/>
    <w:rsid w:val="0C28767C"/>
    <w:rsid w:val="0C55526A"/>
    <w:rsid w:val="0CA926B4"/>
    <w:rsid w:val="0CA9299F"/>
    <w:rsid w:val="0CB5176E"/>
    <w:rsid w:val="0D1F5583"/>
    <w:rsid w:val="0D304082"/>
    <w:rsid w:val="0D3A1CF2"/>
    <w:rsid w:val="0D97739A"/>
    <w:rsid w:val="0DD9290F"/>
    <w:rsid w:val="0E214744"/>
    <w:rsid w:val="0E2956AF"/>
    <w:rsid w:val="0E7C61D3"/>
    <w:rsid w:val="0EAD36A7"/>
    <w:rsid w:val="0EED198A"/>
    <w:rsid w:val="0F542633"/>
    <w:rsid w:val="0F6A005A"/>
    <w:rsid w:val="0F8C2C8D"/>
    <w:rsid w:val="0FD66030"/>
    <w:rsid w:val="0FEA0949"/>
    <w:rsid w:val="101271B8"/>
    <w:rsid w:val="1021369D"/>
    <w:rsid w:val="10D7002E"/>
    <w:rsid w:val="11274EE5"/>
    <w:rsid w:val="1151445E"/>
    <w:rsid w:val="119C511E"/>
    <w:rsid w:val="11A3682B"/>
    <w:rsid w:val="11D50B39"/>
    <w:rsid w:val="11F02824"/>
    <w:rsid w:val="12437483"/>
    <w:rsid w:val="128D4367"/>
    <w:rsid w:val="128E689D"/>
    <w:rsid w:val="12907582"/>
    <w:rsid w:val="12BF3B27"/>
    <w:rsid w:val="12E61056"/>
    <w:rsid w:val="130B063D"/>
    <w:rsid w:val="13A23DBC"/>
    <w:rsid w:val="13C80A82"/>
    <w:rsid w:val="13DA34AF"/>
    <w:rsid w:val="140E3D4C"/>
    <w:rsid w:val="14C111AC"/>
    <w:rsid w:val="14DD483B"/>
    <w:rsid w:val="15347D0B"/>
    <w:rsid w:val="15915971"/>
    <w:rsid w:val="15930E74"/>
    <w:rsid w:val="15BD4AE9"/>
    <w:rsid w:val="15C81E56"/>
    <w:rsid w:val="164851A6"/>
    <w:rsid w:val="1652230F"/>
    <w:rsid w:val="1663076D"/>
    <w:rsid w:val="175C3E39"/>
    <w:rsid w:val="1762513C"/>
    <w:rsid w:val="17B024FE"/>
    <w:rsid w:val="17BB3CFC"/>
    <w:rsid w:val="17E24350"/>
    <w:rsid w:val="17F117A3"/>
    <w:rsid w:val="18251C26"/>
    <w:rsid w:val="191E19A3"/>
    <w:rsid w:val="192667D1"/>
    <w:rsid w:val="197F6ABE"/>
    <w:rsid w:val="19940409"/>
    <w:rsid w:val="19EC72BC"/>
    <w:rsid w:val="1A2F4A85"/>
    <w:rsid w:val="1A58610F"/>
    <w:rsid w:val="1A7267F4"/>
    <w:rsid w:val="1B9211AC"/>
    <w:rsid w:val="1BF1157D"/>
    <w:rsid w:val="1C3F0AE4"/>
    <w:rsid w:val="1C427968"/>
    <w:rsid w:val="1C7A3677"/>
    <w:rsid w:val="1CAC1941"/>
    <w:rsid w:val="1CD01F91"/>
    <w:rsid w:val="1D122B2E"/>
    <w:rsid w:val="1D5E74C5"/>
    <w:rsid w:val="1D6E4ED7"/>
    <w:rsid w:val="1DC1221D"/>
    <w:rsid w:val="1DE859FC"/>
    <w:rsid w:val="1E0B6C90"/>
    <w:rsid w:val="1E777800"/>
    <w:rsid w:val="1F314A65"/>
    <w:rsid w:val="1F5749F8"/>
    <w:rsid w:val="1F8B5E71"/>
    <w:rsid w:val="1FBD7C1F"/>
    <w:rsid w:val="2022196D"/>
    <w:rsid w:val="20232E47"/>
    <w:rsid w:val="20831F67"/>
    <w:rsid w:val="20B5361D"/>
    <w:rsid w:val="20BB1DB4"/>
    <w:rsid w:val="20D06039"/>
    <w:rsid w:val="21135FD2"/>
    <w:rsid w:val="21292150"/>
    <w:rsid w:val="21C03B6C"/>
    <w:rsid w:val="22264B96"/>
    <w:rsid w:val="227635D6"/>
    <w:rsid w:val="22B76683"/>
    <w:rsid w:val="22BC1C9E"/>
    <w:rsid w:val="22D41DC2"/>
    <w:rsid w:val="23471CFB"/>
    <w:rsid w:val="23B74214"/>
    <w:rsid w:val="24233357"/>
    <w:rsid w:val="244E5BC6"/>
    <w:rsid w:val="24E60441"/>
    <w:rsid w:val="25251C80"/>
    <w:rsid w:val="25566D14"/>
    <w:rsid w:val="25CE5F34"/>
    <w:rsid w:val="25DD21B3"/>
    <w:rsid w:val="25F2550C"/>
    <w:rsid w:val="260D5FFF"/>
    <w:rsid w:val="267B47B0"/>
    <w:rsid w:val="26D439F4"/>
    <w:rsid w:val="27186D03"/>
    <w:rsid w:val="272F01F7"/>
    <w:rsid w:val="27B92B32"/>
    <w:rsid w:val="27E3762C"/>
    <w:rsid w:val="27EF40FF"/>
    <w:rsid w:val="28035CC9"/>
    <w:rsid w:val="28222648"/>
    <w:rsid w:val="28D21782"/>
    <w:rsid w:val="28D90AF6"/>
    <w:rsid w:val="292459F1"/>
    <w:rsid w:val="29DD218D"/>
    <w:rsid w:val="2AA0262C"/>
    <w:rsid w:val="2B5B3A94"/>
    <w:rsid w:val="2BD944B2"/>
    <w:rsid w:val="2C2C17BC"/>
    <w:rsid w:val="2C7A0008"/>
    <w:rsid w:val="2CC51B87"/>
    <w:rsid w:val="2CD13F3A"/>
    <w:rsid w:val="2CD80D47"/>
    <w:rsid w:val="2D4E7208"/>
    <w:rsid w:val="2D923C8B"/>
    <w:rsid w:val="2E246034"/>
    <w:rsid w:val="2E5E5C1F"/>
    <w:rsid w:val="2E955D29"/>
    <w:rsid w:val="2F7A4403"/>
    <w:rsid w:val="2FB24854"/>
    <w:rsid w:val="30BF439A"/>
    <w:rsid w:val="30D25A38"/>
    <w:rsid w:val="31034EE4"/>
    <w:rsid w:val="31035B52"/>
    <w:rsid w:val="31134AF1"/>
    <w:rsid w:val="319E48F7"/>
    <w:rsid w:val="31B01081"/>
    <w:rsid w:val="32085F21"/>
    <w:rsid w:val="32410D7E"/>
    <w:rsid w:val="324234D5"/>
    <w:rsid w:val="32C6485A"/>
    <w:rsid w:val="32DA7C81"/>
    <w:rsid w:val="3383074C"/>
    <w:rsid w:val="341A3E87"/>
    <w:rsid w:val="34BE1C7E"/>
    <w:rsid w:val="34FC0BB7"/>
    <w:rsid w:val="3507141A"/>
    <w:rsid w:val="350D1DFF"/>
    <w:rsid w:val="35725E7F"/>
    <w:rsid w:val="35AE1415"/>
    <w:rsid w:val="360D204B"/>
    <w:rsid w:val="36142A80"/>
    <w:rsid w:val="365022C5"/>
    <w:rsid w:val="365976FD"/>
    <w:rsid w:val="366175C4"/>
    <w:rsid w:val="3663237C"/>
    <w:rsid w:val="367F6C8E"/>
    <w:rsid w:val="369A59B6"/>
    <w:rsid w:val="36BD15E3"/>
    <w:rsid w:val="371B2546"/>
    <w:rsid w:val="379224A8"/>
    <w:rsid w:val="37D00A9F"/>
    <w:rsid w:val="37F115CD"/>
    <w:rsid w:val="38D428CC"/>
    <w:rsid w:val="38EF7F95"/>
    <w:rsid w:val="3941767C"/>
    <w:rsid w:val="395B4E7C"/>
    <w:rsid w:val="3985730C"/>
    <w:rsid w:val="39A614CB"/>
    <w:rsid w:val="39B16A37"/>
    <w:rsid w:val="3A063F42"/>
    <w:rsid w:val="3A4B6966"/>
    <w:rsid w:val="3A8D375B"/>
    <w:rsid w:val="3AE657AF"/>
    <w:rsid w:val="3AED09BD"/>
    <w:rsid w:val="3B154D8C"/>
    <w:rsid w:val="3B191493"/>
    <w:rsid w:val="3B74015D"/>
    <w:rsid w:val="3BFD7FFA"/>
    <w:rsid w:val="3C465226"/>
    <w:rsid w:val="3C7704C4"/>
    <w:rsid w:val="3D066557"/>
    <w:rsid w:val="3D3316B8"/>
    <w:rsid w:val="3D3C38C1"/>
    <w:rsid w:val="3D583A9A"/>
    <w:rsid w:val="3D6A400F"/>
    <w:rsid w:val="3D712EC0"/>
    <w:rsid w:val="3D9D3CB5"/>
    <w:rsid w:val="3DA16A55"/>
    <w:rsid w:val="3E4C7F12"/>
    <w:rsid w:val="3E634E3C"/>
    <w:rsid w:val="3EE50033"/>
    <w:rsid w:val="3EEE5B27"/>
    <w:rsid w:val="3F730679"/>
    <w:rsid w:val="3F841629"/>
    <w:rsid w:val="40782BD2"/>
    <w:rsid w:val="41526B64"/>
    <w:rsid w:val="418D0F3A"/>
    <w:rsid w:val="420D11A6"/>
    <w:rsid w:val="42271614"/>
    <w:rsid w:val="422B001A"/>
    <w:rsid w:val="424D161D"/>
    <w:rsid w:val="42FD5613"/>
    <w:rsid w:val="43386C97"/>
    <w:rsid w:val="43535F48"/>
    <w:rsid w:val="43832BB6"/>
    <w:rsid w:val="438422AA"/>
    <w:rsid w:val="43B57579"/>
    <w:rsid w:val="440F0EBF"/>
    <w:rsid w:val="44302CEE"/>
    <w:rsid w:val="44836261"/>
    <w:rsid w:val="44911A8D"/>
    <w:rsid w:val="451866FF"/>
    <w:rsid w:val="457E18BC"/>
    <w:rsid w:val="45DC10F2"/>
    <w:rsid w:val="46204E8A"/>
    <w:rsid w:val="462D14AE"/>
    <w:rsid w:val="46BD5BCA"/>
    <w:rsid w:val="46CB0360"/>
    <w:rsid w:val="471548BC"/>
    <w:rsid w:val="471D091C"/>
    <w:rsid w:val="478163F5"/>
    <w:rsid w:val="47835315"/>
    <w:rsid w:val="47A97124"/>
    <w:rsid w:val="47CC6474"/>
    <w:rsid w:val="47CD0F5B"/>
    <w:rsid w:val="48594FB1"/>
    <w:rsid w:val="48B96A30"/>
    <w:rsid w:val="49950546"/>
    <w:rsid w:val="49B33379"/>
    <w:rsid w:val="4A2C72F7"/>
    <w:rsid w:val="4A560724"/>
    <w:rsid w:val="4A735089"/>
    <w:rsid w:val="4AC93E79"/>
    <w:rsid w:val="4AE20F59"/>
    <w:rsid w:val="4B2772B6"/>
    <w:rsid w:val="4B374F60"/>
    <w:rsid w:val="4B493A8A"/>
    <w:rsid w:val="4B6F6221"/>
    <w:rsid w:val="4B950E46"/>
    <w:rsid w:val="4C644CD6"/>
    <w:rsid w:val="4D4154F7"/>
    <w:rsid w:val="4D510530"/>
    <w:rsid w:val="4D6E7D47"/>
    <w:rsid w:val="4D7039C9"/>
    <w:rsid w:val="4D9B7612"/>
    <w:rsid w:val="4D9F02E7"/>
    <w:rsid w:val="4DB1793A"/>
    <w:rsid w:val="4DC95CAB"/>
    <w:rsid w:val="4DD3102D"/>
    <w:rsid w:val="4E747792"/>
    <w:rsid w:val="4E844AD0"/>
    <w:rsid w:val="4E916F1E"/>
    <w:rsid w:val="4EDD04CE"/>
    <w:rsid w:val="4EE936A0"/>
    <w:rsid w:val="4F160DB9"/>
    <w:rsid w:val="4F2214E2"/>
    <w:rsid w:val="4F791EF0"/>
    <w:rsid w:val="4F822D0B"/>
    <w:rsid w:val="50083021"/>
    <w:rsid w:val="505C0F87"/>
    <w:rsid w:val="50874DF7"/>
    <w:rsid w:val="50C9296A"/>
    <w:rsid w:val="50CC3A9C"/>
    <w:rsid w:val="510D2AA8"/>
    <w:rsid w:val="51586ACE"/>
    <w:rsid w:val="51B45F98"/>
    <w:rsid w:val="52676685"/>
    <w:rsid w:val="529C2335"/>
    <w:rsid w:val="52B107AA"/>
    <w:rsid w:val="53012E37"/>
    <w:rsid w:val="5315305C"/>
    <w:rsid w:val="53C21D6E"/>
    <w:rsid w:val="53DA2475"/>
    <w:rsid w:val="541A206B"/>
    <w:rsid w:val="5473009A"/>
    <w:rsid w:val="5476668F"/>
    <w:rsid w:val="547C592D"/>
    <w:rsid w:val="548C6D1C"/>
    <w:rsid w:val="55272FC3"/>
    <w:rsid w:val="55762246"/>
    <w:rsid w:val="560F4660"/>
    <w:rsid w:val="56AD249B"/>
    <w:rsid w:val="570D752D"/>
    <w:rsid w:val="573F3FE1"/>
    <w:rsid w:val="57A61D12"/>
    <w:rsid w:val="583A66E2"/>
    <w:rsid w:val="58E654C7"/>
    <w:rsid w:val="591D679C"/>
    <w:rsid w:val="59C44E52"/>
    <w:rsid w:val="5A802C08"/>
    <w:rsid w:val="5AA95C38"/>
    <w:rsid w:val="5AC558FB"/>
    <w:rsid w:val="5AE0016A"/>
    <w:rsid w:val="5AFF3461"/>
    <w:rsid w:val="5BD460B1"/>
    <w:rsid w:val="5C0F0D95"/>
    <w:rsid w:val="5C7A1D7D"/>
    <w:rsid w:val="5CB27E46"/>
    <w:rsid w:val="5CBF56B6"/>
    <w:rsid w:val="5CC62AC2"/>
    <w:rsid w:val="5CEC5C67"/>
    <w:rsid w:val="5CFA0384"/>
    <w:rsid w:val="5D31499D"/>
    <w:rsid w:val="5E0F025B"/>
    <w:rsid w:val="5E195109"/>
    <w:rsid w:val="5E74305A"/>
    <w:rsid w:val="5F1E7327"/>
    <w:rsid w:val="5F5A2053"/>
    <w:rsid w:val="5F6C38C9"/>
    <w:rsid w:val="60500A62"/>
    <w:rsid w:val="605D27B5"/>
    <w:rsid w:val="60B22133"/>
    <w:rsid w:val="60B35636"/>
    <w:rsid w:val="60BA7413"/>
    <w:rsid w:val="60E24E81"/>
    <w:rsid w:val="61134876"/>
    <w:rsid w:val="6142760A"/>
    <w:rsid w:val="614A4A93"/>
    <w:rsid w:val="616C541C"/>
    <w:rsid w:val="619160CC"/>
    <w:rsid w:val="61A96E48"/>
    <w:rsid w:val="620E54BB"/>
    <w:rsid w:val="625D1043"/>
    <w:rsid w:val="62612902"/>
    <w:rsid w:val="62662018"/>
    <w:rsid w:val="627A1826"/>
    <w:rsid w:val="62D133C0"/>
    <w:rsid w:val="63277479"/>
    <w:rsid w:val="633B165F"/>
    <w:rsid w:val="6360453D"/>
    <w:rsid w:val="63736255"/>
    <w:rsid w:val="63AD4D7B"/>
    <w:rsid w:val="64771CA4"/>
    <w:rsid w:val="648A6492"/>
    <w:rsid w:val="648E023F"/>
    <w:rsid w:val="64A76FA4"/>
    <w:rsid w:val="65881649"/>
    <w:rsid w:val="6596271A"/>
    <w:rsid w:val="65A74E21"/>
    <w:rsid w:val="65AC2481"/>
    <w:rsid w:val="65DE1DB1"/>
    <w:rsid w:val="65E74C3F"/>
    <w:rsid w:val="66313600"/>
    <w:rsid w:val="66A27570"/>
    <w:rsid w:val="670A3761"/>
    <w:rsid w:val="67531912"/>
    <w:rsid w:val="67962B2C"/>
    <w:rsid w:val="67BB0E7B"/>
    <w:rsid w:val="682532BB"/>
    <w:rsid w:val="68375556"/>
    <w:rsid w:val="68392861"/>
    <w:rsid w:val="68690347"/>
    <w:rsid w:val="69AA5150"/>
    <w:rsid w:val="69DB1821"/>
    <w:rsid w:val="69FB20C5"/>
    <w:rsid w:val="69FB7120"/>
    <w:rsid w:val="6A892B20"/>
    <w:rsid w:val="6B0F76F1"/>
    <w:rsid w:val="6B44724E"/>
    <w:rsid w:val="6BFC55D7"/>
    <w:rsid w:val="6C472EBA"/>
    <w:rsid w:val="6C55074B"/>
    <w:rsid w:val="6CC31A4A"/>
    <w:rsid w:val="6D251D1D"/>
    <w:rsid w:val="6DEB688F"/>
    <w:rsid w:val="6DEC0ACA"/>
    <w:rsid w:val="6E66566A"/>
    <w:rsid w:val="6EB724B4"/>
    <w:rsid w:val="6EBC251D"/>
    <w:rsid w:val="6FB42615"/>
    <w:rsid w:val="6FD352C6"/>
    <w:rsid w:val="6FF055CD"/>
    <w:rsid w:val="6FF63A26"/>
    <w:rsid w:val="70597B9A"/>
    <w:rsid w:val="706B5DB0"/>
    <w:rsid w:val="72012409"/>
    <w:rsid w:val="72CF1D17"/>
    <w:rsid w:val="72CF483A"/>
    <w:rsid w:val="73213AA8"/>
    <w:rsid w:val="733E49BF"/>
    <w:rsid w:val="734D68B5"/>
    <w:rsid w:val="739F35DC"/>
    <w:rsid w:val="73B70560"/>
    <w:rsid w:val="74A67E7F"/>
    <w:rsid w:val="75007E92"/>
    <w:rsid w:val="75360459"/>
    <w:rsid w:val="754D783F"/>
    <w:rsid w:val="7554056B"/>
    <w:rsid w:val="756845CD"/>
    <w:rsid w:val="756D7CC5"/>
    <w:rsid w:val="75A76527"/>
    <w:rsid w:val="75E1200D"/>
    <w:rsid w:val="760C71B7"/>
    <w:rsid w:val="767D1A75"/>
    <w:rsid w:val="769B6150"/>
    <w:rsid w:val="76F91B44"/>
    <w:rsid w:val="76FF1D05"/>
    <w:rsid w:val="77CA581F"/>
    <w:rsid w:val="77E500C2"/>
    <w:rsid w:val="77F866D1"/>
    <w:rsid w:val="783C6553"/>
    <w:rsid w:val="78A43C58"/>
    <w:rsid w:val="78B33DB1"/>
    <w:rsid w:val="78B80904"/>
    <w:rsid w:val="78E8332F"/>
    <w:rsid w:val="78F558F0"/>
    <w:rsid w:val="79334EF2"/>
    <w:rsid w:val="79634BA8"/>
    <w:rsid w:val="798C1481"/>
    <w:rsid w:val="79F10493"/>
    <w:rsid w:val="7A0423EA"/>
    <w:rsid w:val="7A1F59EF"/>
    <w:rsid w:val="7A292A93"/>
    <w:rsid w:val="7A98322D"/>
    <w:rsid w:val="7AC87533"/>
    <w:rsid w:val="7AFB71CB"/>
    <w:rsid w:val="7B4E03F5"/>
    <w:rsid w:val="7B763959"/>
    <w:rsid w:val="7B850502"/>
    <w:rsid w:val="7B8514B2"/>
    <w:rsid w:val="7BBF4923"/>
    <w:rsid w:val="7BE317A6"/>
    <w:rsid w:val="7C1C7EBF"/>
    <w:rsid w:val="7C62341F"/>
    <w:rsid w:val="7C6543A4"/>
    <w:rsid w:val="7CBD32CC"/>
    <w:rsid w:val="7D3D4580"/>
    <w:rsid w:val="7D6C741B"/>
    <w:rsid w:val="7D914338"/>
    <w:rsid w:val="7DAA1297"/>
    <w:rsid w:val="7DB52379"/>
    <w:rsid w:val="7DC106FC"/>
    <w:rsid w:val="7DC130D3"/>
    <w:rsid w:val="7DD33FF7"/>
    <w:rsid w:val="7DE3170D"/>
    <w:rsid w:val="7DE4698C"/>
    <w:rsid w:val="7DF96CE7"/>
    <w:rsid w:val="7EBE0D2D"/>
    <w:rsid w:val="7ECB2BD2"/>
    <w:rsid w:val="7EEC005A"/>
    <w:rsid w:val="7EFE392F"/>
    <w:rsid w:val="7F795BB0"/>
    <w:rsid w:val="7F8518D8"/>
    <w:rsid w:val="7FF865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39" w:semiHidden="0" w:name="toc 3"/>
    <w:lsdException w:unhideWhenUsed="0" w:uiPriority="39" w:semiHidden="0" w:name="toc 4"/>
    <w:lsdException w:unhideWhenUsed="0" w:uiPriority="39" w:semiHidden="0" w:name="toc 5"/>
    <w:lsdException w:unhideWhenUsed="0" w:uiPriority="39" w:semiHidden="0" w:name="toc 6"/>
    <w:lsdException w:unhideWhenUsed="0" w:uiPriority="39" w:semiHidden="0" w:name="toc 7"/>
    <w:lsdException w:unhideWhenUsed="0" w:uiPriority="39" w:semiHidden="0" w:name="toc 8"/>
    <w:lsdException w:unhideWhenUsed="0"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kern w:val="44"/>
      <w:sz w:val="44"/>
    </w:rPr>
  </w:style>
  <w:style w:type="paragraph" w:styleId="3">
    <w:name w:val="heading 2"/>
    <w:basedOn w:val="1"/>
    <w:next w:val="1"/>
    <w:qFormat/>
    <w:uiPriority w:val="0"/>
    <w:pPr>
      <w:keepNext/>
      <w:keepLines/>
      <w:spacing w:before="260" w:after="260" w:line="416" w:lineRule="auto"/>
      <w:outlineLvl w:val="1"/>
    </w:pPr>
    <w:rPr>
      <w:rFonts w:ascii="Cambria" w:hAnsi="Cambria"/>
      <w:b/>
      <w:bCs/>
      <w:sz w:val="28"/>
      <w:szCs w:val="32"/>
    </w:rPr>
  </w:style>
  <w:style w:type="paragraph" w:styleId="4">
    <w:name w:val="heading 3"/>
    <w:basedOn w:val="1"/>
    <w:next w:val="1"/>
    <w:link w:val="18"/>
    <w:unhideWhenUsed/>
    <w:qFormat/>
    <w:uiPriority w:val="0"/>
    <w:pPr>
      <w:keepNext/>
      <w:keepLines/>
      <w:spacing w:before="260" w:after="260" w:line="416" w:lineRule="auto"/>
      <w:outlineLvl w:val="2"/>
    </w:pPr>
    <w:rPr>
      <w:b/>
      <w:bCs/>
      <w:sz w:val="28"/>
      <w:szCs w:val="32"/>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9"/>
    <w:qFormat/>
    <w:uiPriority w:val="0"/>
    <w:rPr>
      <w:sz w:val="18"/>
      <w:szCs w:val="18"/>
    </w:rPr>
  </w:style>
  <w:style w:type="paragraph" w:styleId="6">
    <w:name w:val="footer"/>
    <w:basedOn w:val="1"/>
    <w:link w:val="23"/>
    <w:qFormat/>
    <w:uiPriority w:val="99"/>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toc 1"/>
    <w:basedOn w:val="1"/>
    <w:next w:val="1"/>
    <w:qFormat/>
    <w:uiPriority w:val="39"/>
  </w:style>
  <w:style w:type="paragraph" w:styleId="9">
    <w:name w:val="toc 2"/>
    <w:basedOn w:val="1"/>
    <w:next w:val="1"/>
    <w:qFormat/>
    <w:uiPriority w:val="39"/>
    <w:pPr>
      <w:ind w:left="420" w:leftChars="200"/>
    </w:pPr>
    <w:rPr>
      <w:sz w:val="24"/>
    </w:rPr>
  </w:style>
  <w:style w:type="paragraph" w:styleId="10">
    <w:name w:val="Normal (Web)"/>
    <w:basedOn w:val="1"/>
    <w:qFormat/>
    <w:uiPriority w:val="99"/>
    <w:pPr>
      <w:spacing w:beforeAutospacing="1" w:afterAutospacing="1"/>
      <w:jc w:val="left"/>
    </w:pPr>
    <w:rPr>
      <w:rFonts w:cs="Times New Roman"/>
      <w:kern w:val="0"/>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22"/>
    <w:rPr>
      <w:b/>
    </w:rPr>
  </w:style>
  <w:style w:type="character" w:styleId="15">
    <w:name w:val="Hyperlink"/>
    <w:basedOn w:val="13"/>
    <w:qFormat/>
    <w:uiPriority w:val="99"/>
    <w:rPr>
      <w:color w:val="0000FF"/>
      <w:u w:val="single"/>
    </w:rPr>
  </w:style>
  <w:style w:type="paragraph" w:customStyle="1" w:styleId="16">
    <w:name w:val="WPSOffice手动目录 1"/>
    <w:qFormat/>
    <w:uiPriority w:val="0"/>
    <w:rPr>
      <w:rFonts w:ascii="Times New Roman" w:hAnsi="Times New Roman" w:eastAsia="宋体" w:cs="Times New Roman"/>
      <w:kern w:val="2"/>
      <w:sz w:val="21"/>
      <w:szCs w:val="22"/>
      <w:lang w:val="en-US" w:eastAsia="zh-CN" w:bidi="ar-SA"/>
    </w:rPr>
  </w:style>
  <w:style w:type="paragraph" w:customStyle="1" w:styleId="17">
    <w:name w:val="WPSOffice手动目录 2"/>
    <w:qFormat/>
    <w:uiPriority w:val="0"/>
    <w:pPr>
      <w:ind w:left="200" w:leftChars="200"/>
    </w:pPr>
    <w:rPr>
      <w:rFonts w:ascii="Times New Roman" w:hAnsi="Times New Roman" w:eastAsia="宋体" w:cs="Times New Roman"/>
      <w:kern w:val="2"/>
      <w:sz w:val="21"/>
      <w:szCs w:val="22"/>
      <w:lang w:val="en-US" w:eastAsia="zh-CN" w:bidi="ar-SA"/>
    </w:rPr>
  </w:style>
  <w:style w:type="character" w:customStyle="1" w:styleId="18">
    <w:name w:val="标题 3 字符"/>
    <w:basedOn w:val="13"/>
    <w:link w:val="4"/>
    <w:qFormat/>
    <w:uiPriority w:val="0"/>
    <w:rPr>
      <w:rFonts w:asciiTheme="minorHAnsi" w:hAnsiTheme="minorHAnsi" w:eastAsiaTheme="minorEastAsia" w:cstheme="minorBidi"/>
      <w:b/>
      <w:bCs/>
      <w:kern w:val="2"/>
      <w:sz w:val="28"/>
      <w:szCs w:val="32"/>
    </w:rPr>
  </w:style>
  <w:style w:type="character" w:customStyle="1" w:styleId="19">
    <w:name w:val="批注框文本 字符"/>
    <w:basedOn w:val="13"/>
    <w:link w:val="5"/>
    <w:qFormat/>
    <w:uiPriority w:val="0"/>
    <w:rPr>
      <w:rFonts w:asciiTheme="minorHAnsi" w:hAnsiTheme="minorHAnsi" w:eastAsiaTheme="minorEastAsia" w:cstheme="minorBidi"/>
      <w:kern w:val="2"/>
      <w:sz w:val="18"/>
      <w:szCs w:val="18"/>
    </w:rPr>
  </w:style>
  <w:style w:type="paragraph" w:customStyle="1" w:styleId="20">
    <w:name w:val="样式1"/>
    <w:basedOn w:val="1"/>
    <w:next w:val="1"/>
    <w:qFormat/>
    <w:uiPriority w:val="0"/>
    <w:pPr>
      <w:keepNext/>
      <w:keepLines/>
      <w:spacing w:before="260" w:after="260" w:line="416" w:lineRule="auto"/>
      <w:outlineLvl w:val="1"/>
    </w:pPr>
    <w:rPr>
      <w:rFonts w:hint="eastAsia" w:ascii="Cambria" w:hAnsi="Cambria"/>
      <w:b/>
      <w:bCs/>
      <w:sz w:val="28"/>
      <w:szCs w:val="32"/>
    </w:rPr>
  </w:style>
  <w:style w:type="paragraph" w:customStyle="1" w:styleId="21">
    <w:name w:val="样式2"/>
    <w:basedOn w:val="1"/>
    <w:qFormat/>
    <w:uiPriority w:val="0"/>
    <w:pPr>
      <w:spacing w:before="50" w:beforeLines="50" w:line="360" w:lineRule="auto"/>
      <w:ind w:firstLine="480" w:firstLineChars="200"/>
    </w:pPr>
    <w:rPr>
      <w:rFonts w:hint="eastAsia" w:ascii="宋体" w:hAnsi="宋体" w:eastAsia="宋体" w:cs="宋体"/>
      <w:color w:val="000000" w:themeColor="text1"/>
      <w:sz w:val="24"/>
      <w14:textFill>
        <w14:solidFill>
          <w14:schemeClr w14:val="tx1"/>
        </w14:solidFill>
      </w14:textFill>
    </w:rPr>
  </w:style>
  <w:style w:type="paragraph" w:customStyle="1" w:styleId="22">
    <w:name w:val="ds-markdown-paragraph"/>
    <w:basedOn w:val="1"/>
    <w:qFormat/>
    <w:uiPriority w:val="0"/>
    <w:pPr>
      <w:widowControl/>
      <w:spacing w:before="100" w:beforeAutospacing="1" w:after="100" w:afterAutospacing="1"/>
      <w:jc w:val="left"/>
    </w:pPr>
    <w:rPr>
      <w:rFonts w:ascii="宋体" w:hAnsi="宋体" w:eastAsia="宋体" w:cs="宋体"/>
      <w:kern w:val="0"/>
      <w:sz w:val="24"/>
    </w:rPr>
  </w:style>
  <w:style w:type="character" w:customStyle="1" w:styleId="23">
    <w:name w:val="页脚 字符"/>
    <w:basedOn w:val="13"/>
    <w:link w:val="6"/>
    <w:qFormat/>
    <w:uiPriority w:val="99"/>
    <w:rPr>
      <w:rFonts w:asciiTheme="minorHAnsi" w:hAnsiTheme="minorHAnsi" w:eastAsiaTheme="minorEastAsia" w:cstheme="minorBidi"/>
      <w:kern w:val="2"/>
      <w:sz w:val="1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numbering" Target="numbering.xml"/><Relationship Id="rId26" Type="http://schemas.openxmlformats.org/officeDocument/2006/relationships/image" Target="media/image23.jpe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Desktop\&#32439;&#32321;&#22810;&#24425;.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EBE9B-D69B-468D-B411-A1FA788D7D02}">
  <ds:schemaRefs/>
</ds:datastoreItem>
</file>

<file path=docProps/app.xml><?xml version="1.0" encoding="utf-8"?>
<Properties xmlns="http://schemas.openxmlformats.org/officeDocument/2006/extended-properties" xmlns:vt="http://schemas.openxmlformats.org/officeDocument/2006/docPropsVTypes">
  <Template>纷繁多彩.wpt</Template>
  <Pages>29</Pages>
  <Words>9835</Words>
  <Characters>10450</Characters>
  <Lines>87</Lines>
  <Paragraphs>24</Paragraphs>
  <TotalTime>28</TotalTime>
  <ScaleCrop>false</ScaleCrop>
  <LinksUpToDate>false</LinksUpToDate>
  <CharactersWithSpaces>10625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2025-08-04T10:56:00Z</dcterms:created>
  <dc:creator>user</dc:creator>
  <cp:lastModifiedBy>於</cp:lastModifiedBy>
  <cp:lastPrinted>2025-08-05T01:01:00Z</cp:lastPrinted>
  <dcterms:modified xsi:type="dcterms:W3CDTF">2025-09-03T11:05:38Z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eyJoZGlkIjoiMWZhYzY1MmI4ZDJiYWJiMTU1NWQwZWE2ZjgwOGVjNzMiLCJ1c2VySWQiOiIxMzg0MDY3OTI3In0=</vt:lpwstr>
  </property>
  <property fmtid="{D5CDD505-2E9C-101B-9397-08002B2CF9AE}" pid="4" name="ICV">
    <vt:lpwstr>B5682AB8EF2644DAB797BFDFE7460DAE_13</vt:lpwstr>
  </property>
</Properties>
</file>