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32C73" w14:textId="77777777" w:rsidR="00B43C4D" w:rsidRDefault="00B822D6">
      <w:r>
        <w:rPr>
          <w:noProof/>
        </w:rPr>
        <w:drawing>
          <wp:anchor distT="0" distB="0" distL="114300" distR="114300" simplePos="0" relativeHeight="251659264" behindDoc="0" locked="0" layoutInCell="1" allowOverlap="1" wp14:anchorId="5761B885" wp14:editId="5AF0AEEA">
            <wp:simplePos x="0" y="0"/>
            <wp:positionH relativeFrom="column">
              <wp:posOffset>-1143000</wp:posOffset>
            </wp:positionH>
            <wp:positionV relativeFrom="paragraph">
              <wp:posOffset>-1127760</wp:posOffset>
            </wp:positionV>
            <wp:extent cx="7553325" cy="106584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3325" cy="10658475"/>
                    </a:xfrm>
                    <a:prstGeom prst="rect">
                      <a:avLst/>
                    </a:prstGeom>
                    <a:noFill/>
                    <a:ln>
                      <a:noFill/>
                    </a:ln>
                  </pic:spPr>
                </pic:pic>
              </a:graphicData>
            </a:graphic>
          </wp:anchor>
        </w:drawing>
      </w:r>
    </w:p>
    <w:p w14:paraId="308D1357" w14:textId="77777777" w:rsidR="00B43C4D" w:rsidRDefault="00B43C4D">
      <w:pPr>
        <w:jc w:val="center"/>
        <w:rPr>
          <w:rFonts w:ascii="宋体" w:eastAsia="宋体" w:hAnsi="宋体" w:cs="宋体"/>
          <w:sz w:val="24"/>
        </w:rPr>
        <w:sectPr w:rsidR="00B43C4D">
          <w:headerReference w:type="default" r:id="rId10"/>
          <w:footerReference w:type="default" r:id="rId11"/>
          <w:pgSz w:w="11906" w:h="16838"/>
          <w:pgMar w:top="1440" w:right="1800" w:bottom="1440" w:left="1800" w:header="851" w:footer="992" w:gutter="0"/>
          <w:cols w:space="425"/>
          <w:docGrid w:type="lines" w:linePitch="312"/>
        </w:sectPr>
      </w:pPr>
    </w:p>
    <w:p w14:paraId="2F2BC919" w14:textId="77777777" w:rsidR="00B43C4D" w:rsidRDefault="00B43C4D">
      <w:pPr>
        <w:jc w:val="center"/>
        <w:rPr>
          <w:rFonts w:ascii="宋体" w:eastAsia="宋体" w:hAnsi="宋体" w:cs="宋体"/>
          <w:sz w:val="24"/>
        </w:rPr>
      </w:pPr>
    </w:p>
    <w:sdt>
      <w:sdtPr>
        <w:rPr>
          <w:rFonts w:ascii="宋体" w:eastAsia="宋体" w:hAnsi="宋体"/>
        </w:rPr>
        <w:id w:val="147466958"/>
        <w15:color w:val="DBDBDB"/>
        <w:docPartObj>
          <w:docPartGallery w:val="Table of Contents"/>
          <w:docPartUnique/>
        </w:docPartObj>
      </w:sdtPr>
      <w:sdtEndPr>
        <w:rPr>
          <w:rFonts w:asciiTheme="minorHAnsi" w:eastAsiaTheme="minorEastAsia" w:hAnsiTheme="minorHAnsi" w:hint="eastAsia"/>
          <w:b/>
          <w:bCs/>
          <w:sz w:val="24"/>
          <w:szCs w:val="32"/>
        </w:rPr>
      </w:sdtEndPr>
      <w:sdtContent>
        <w:p w14:paraId="3DCE8B6A" w14:textId="77777777" w:rsidR="00B43C4D" w:rsidRDefault="00B822D6">
          <w:pPr>
            <w:jc w:val="center"/>
            <w:rPr>
              <w:b/>
              <w:bCs/>
              <w:sz w:val="44"/>
              <w:szCs w:val="52"/>
            </w:rPr>
          </w:pPr>
          <w:r>
            <w:rPr>
              <w:rFonts w:ascii="宋体" w:eastAsia="宋体" w:hAnsi="宋体"/>
              <w:b/>
              <w:bCs/>
              <w:sz w:val="44"/>
              <w:szCs w:val="52"/>
            </w:rPr>
            <w:t>目录</w:t>
          </w:r>
        </w:p>
        <w:p w14:paraId="37C7385A" w14:textId="77777777" w:rsidR="00B43C4D" w:rsidRDefault="00B822D6">
          <w:pPr>
            <w:pStyle w:val="TOC1"/>
            <w:tabs>
              <w:tab w:val="right" w:leader="dot" w:pos="8306"/>
            </w:tabs>
            <w:rPr>
              <w:b/>
              <w:bCs/>
              <w:sz w:val="28"/>
              <w:szCs w:val="36"/>
            </w:rPr>
          </w:pPr>
          <w:r>
            <w:rPr>
              <w:rFonts w:hint="eastAsia"/>
              <w:b/>
              <w:bCs/>
              <w:sz w:val="24"/>
              <w:szCs w:val="32"/>
            </w:rPr>
            <w:fldChar w:fldCharType="begin"/>
          </w:r>
          <w:r>
            <w:rPr>
              <w:rFonts w:hint="eastAsia"/>
              <w:b/>
              <w:bCs/>
              <w:sz w:val="24"/>
              <w:szCs w:val="32"/>
            </w:rPr>
            <w:instrText xml:space="preserve">TOC \o "1-3" \h \u </w:instrText>
          </w:r>
          <w:r>
            <w:rPr>
              <w:rFonts w:hint="eastAsia"/>
              <w:b/>
              <w:bCs/>
              <w:sz w:val="24"/>
              <w:szCs w:val="32"/>
            </w:rPr>
            <w:fldChar w:fldCharType="separate"/>
          </w:r>
          <w:hyperlink w:anchor="_Toc1615" w:history="1">
            <w:r>
              <w:rPr>
                <w:rFonts w:ascii="微软雅黑" w:eastAsia="微软雅黑" w:hAnsi="微软雅黑" w:cs="微软雅黑" w:hint="eastAsia"/>
                <w:b/>
                <w:bCs/>
                <w:sz w:val="28"/>
                <w:szCs w:val="44"/>
              </w:rPr>
              <w:t>一、报告摘要</w:t>
            </w:r>
            <w:r>
              <w:rPr>
                <w:b/>
                <w:bCs/>
                <w:sz w:val="28"/>
                <w:szCs w:val="36"/>
              </w:rPr>
              <w:tab/>
            </w:r>
            <w:r>
              <w:rPr>
                <w:b/>
                <w:bCs/>
                <w:sz w:val="28"/>
                <w:szCs w:val="36"/>
              </w:rPr>
              <w:fldChar w:fldCharType="begin"/>
            </w:r>
            <w:r>
              <w:rPr>
                <w:b/>
                <w:bCs/>
                <w:sz w:val="28"/>
                <w:szCs w:val="36"/>
              </w:rPr>
              <w:instrText xml:space="preserve"> PAGEREF _Toc1615 \h </w:instrText>
            </w:r>
            <w:r>
              <w:rPr>
                <w:b/>
                <w:bCs/>
                <w:sz w:val="28"/>
                <w:szCs w:val="36"/>
              </w:rPr>
            </w:r>
            <w:r>
              <w:rPr>
                <w:b/>
                <w:bCs/>
                <w:sz w:val="28"/>
                <w:szCs w:val="36"/>
              </w:rPr>
              <w:fldChar w:fldCharType="separate"/>
            </w:r>
            <w:r>
              <w:rPr>
                <w:b/>
                <w:bCs/>
                <w:sz w:val="28"/>
                <w:szCs w:val="36"/>
              </w:rPr>
              <w:t>3</w:t>
            </w:r>
            <w:r>
              <w:rPr>
                <w:b/>
                <w:bCs/>
                <w:sz w:val="28"/>
                <w:szCs w:val="36"/>
              </w:rPr>
              <w:fldChar w:fldCharType="end"/>
            </w:r>
          </w:hyperlink>
        </w:p>
        <w:p w14:paraId="70C99C2D" w14:textId="77777777" w:rsidR="00B43C4D" w:rsidRDefault="00077241">
          <w:pPr>
            <w:pStyle w:val="TOC1"/>
            <w:tabs>
              <w:tab w:val="right" w:leader="dot" w:pos="8306"/>
            </w:tabs>
            <w:rPr>
              <w:b/>
              <w:bCs/>
              <w:sz w:val="28"/>
              <w:szCs w:val="36"/>
            </w:rPr>
          </w:pPr>
          <w:hyperlink w:anchor="_Toc4190" w:history="1">
            <w:r w:rsidR="00B822D6">
              <w:rPr>
                <w:rFonts w:ascii="微软雅黑" w:eastAsia="微软雅黑" w:hAnsi="微软雅黑" w:cs="微软雅黑" w:hint="eastAsia"/>
                <w:b/>
                <w:bCs/>
                <w:sz w:val="28"/>
                <w:szCs w:val="44"/>
              </w:rPr>
              <w:t>二、整体数据</w:t>
            </w:r>
            <w:r w:rsidR="00B822D6">
              <w:rPr>
                <w:b/>
                <w:bCs/>
                <w:sz w:val="28"/>
                <w:szCs w:val="36"/>
              </w:rPr>
              <w:tab/>
            </w:r>
            <w:r w:rsidR="00B822D6">
              <w:rPr>
                <w:b/>
                <w:bCs/>
                <w:sz w:val="28"/>
                <w:szCs w:val="36"/>
              </w:rPr>
              <w:fldChar w:fldCharType="begin"/>
            </w:r>
            <w:r w:rsidR="00B822D6">
              <w:rPr>
                <w:b/>
                <w:bCs/>
                <w:sz w:val="28"/>
                <w:szCs w:val="36"/>
              </w:rPr>
              <w:instrText xml:space="preserve"> PAGEREF _Toc4190 \h </w:instrText>
            </w:r>
            <w:r w:rsidR="00B822D6">
              <w:rPr>
                <w:b/>
                <w:bCs/>
                <w:sz w:val="28"/>
                <w:szCs w:val="36"/>
              </w:rPr>
            </w:r>
            <w:r w:rsidR="00B822D6">
              <w:rPr>
                <w:b/>
                <w:bCs/>
                <w:sz w:val="28"/>
                <w:szCs w:val="36"/>
              </w:rPr>
              <w:fldChar w:fldCharType="separate"/>
            </w:r>
            <w:r w:rsidR="00B822D6">
              <w:rPr>
                <w:b/>
                <w:bCs/>
                <w:sz w:val="28"/>
                <w:szCs w:val="36"/>
              </w:rPr>
              <w:t>4</w:t>
            </w:r>
            <w:r w:rsidR="00B822D6">
              <w:rPr>
                <w:b/>
                <w:bCs/>
                <w:sz w:val="28"/>
                <w:szCs w:val="36"/>
              </w:rPr>
              <w:fldChar w:fldCharType="end"/>
            </w:r>
          </w:hyperlink>
        </w:p>
        <w:p w14:paraId="01794F21" w14:textId="77777777" w:rsidR="00B43C4D" w:rsidRDefault="00077241">
          <w:pPr>
            <w:pStyle w:val="TOC2"/>
            <w:tabs>
              <w:tab w:val="right" w:leader="dot" w:pos="8306"/>
            </w:tabs>
            <w:rPr>
              <w:b/>
              <w:bCs/>
              <w:sz w:val="28"/>
              <w:szCs w:val="28"/>
            </w:rPr>
          </w:pPr>
          <w:hyperlink w:anchor="_Toc27903" w:history="1">
            <w:r w:rsidR="00B822D6">
              <w:rPr>
                <w:rFonts w:hint="eastAsia"/>
                <w:b/>
                <w:bCs/>
                <w:sz w:val="28"/>
                <w:szCs w:val="28"/>
              </w:rPr>
              <w:t>（一）投诉问题类型分布</w:t>
            </w:r>
            <w:r w:rsidR="00B822D6">
              <w:rPr>
                <w:b/>
                <w:bCs/>
                <w:sz w:val="28"/>
                <w:szCs w:val="28"/>
              </w:rPr>
              <w:tab/>
            </w:r>
            <w:r w:rsidR="00B822D6">
              <w:rPr>
                <w:b/>
                <w:bCs/>
                <w:sz w:val="28"/>
                <w:szCs w:val="28"/>
              </w:rPr>
              <w:fldChar w:fldCharType="begin"/>
            </w:r>
            <w:r w:rsidR="00B822D6">
              <w:rPr>
                <w:b/>
                <w:bCs/>
                <w:sz w:val="28"/>
                <w:szCs w:val="28"/>
              </w:rPr>
              <w:instrText xml:space="preserve"> PAGEREF _Toc27903 \h </w:instrText>
            </w:r>
            <w:r w:rsidR="00B822D6">
              <w:rPr>
                <w:b/>
                <w:bCs/>
                <w:sz w:val="28"/>
                <w:szCs w:val="28"/>
              </w:rPr>
            </w:r>
            <w:r w:rsidR="00B822D6">
              <w:rPr>
                <w:b/>
                <w:bCs/>
                <w:sz w:val="28"/>
                <w:szCs w:val="28"/>
              </w:rPr>
              <w:fldChar w:fldCharType="separate"/>
            </w:r>
            <w:r w:rsidR="00B822D6">
              <w:rPr>
                <w:b/>
                <w:bCs/>
                <w:sz w:val="28"/>
                <w:szCs w:val="28"/>
              </w:rPr>
              <w:t>4</w:t>
            </w:r>
            <w:r w:rsidR="00B822D6">
              <w:rPr>
                <w:b/>
                <w:bCs/>
                <w:sz w:val="28"/>
                <w:szCs w:val="28"/>
              </w:rPr>
              <w:fldChar w:fldCharType="end"/>
            </w:r>
          </w:hyperlink>
        </w:p>
        <w:p w14:paraId="25DD644E" w14:textId="77777777" w:rsidR="00B43C4D" w:rsidRDefault="00077241">
          <w:pPr>
            <w:pStyle w:val="TOC2"/>
            <w:tabs>
              <w:tab w:val="right" w:leader="dot" w:pos="8306"/>
            </w:tabs>
            <w:rPr>
              <w:b/>
              <w:bCs/>
              <w:sz w:val="28"/>
              <w:szCs w:val="28"/>
            </w:rPr>
          </w:pPr>
          <w:hyperlink w:anchor="_Toc27936" w:history="1">
            <w:r w:rsidR="00B822D6">
              <w:rPr>
                <w:rFonts w:hint="eastAsia"/>
                <w:b/>
                <w:bCs/>
                <w:sz w:val="28"/>
                <w:szCs w:val="28"/>
              </w:rPr>
              <w:t>（二）投诉地区分布</w:t>
            </w:r>
            <w:r w:rsidR="00B822D6">
              <w:rPr>
                <w:b/>
                <w:bCs/>
                <w:sz w:val="28"/>
                <w:szCs w:val="28"/>
              </w:rPr>
              <w:tab/>
            </w:r>
            <w:r w:rsidR="00B822D6">
              <w:rPr>
                <w:b/>
                <w:bCs/>
                <w:sz w:val="28"/>
                <w:szCs w:val="28"/>
              </w:rPr>
              <w:fldChar w:fldCharType="begin"/>
            </w:r>
            <w:r w:rsidR="00B822D6">
              <w:rPr>
                <w:b/>
                <w:bCs/>
                <w:sz w:val="28"/>
                <w:szCs w:val="28"/>
              </w:rPr>
              <w:instrText xml:space="preserve"> PAGEREF _Toc27936 \h </w:instrText>
            </w:r>
            <w:r w:rsidR="00B822D6">
              <w:rPr>
                <w:b/>
                <w:bCs/>
                <w:sz w:val="28"/>
                <w:szCs w:val="28"/>
              </w:rPr>
            </w:r>
            <w:r w:rsidR="00B822D6">
              <w:rPr>
                <w:b/>
                <w:bCs/>
                <w:sz w:val="28"/>
                <w:szCs w:val="28"/>
              </w:rPr>
              <w:fldChar w:fldCharType="separate"/>
            </w:r>
            <w:r w:rsidR="00B822D6">
              <w:rPr>
                <w:b/>
                <w:bCs/>
                <w:sz w:val="28"/>
                <w:szCs w:val="28"/>
              </w:rPr>
              <w:t>4</w:t>
            </w:r>
            <w:r w:rsidR="00B822D6">
              <w:rPr>
                <w:b/>
                <w:bCs/>
                <w:sz w:val="28"/>
                <w:szCs w:val="28"/>
              </w:rPr>
              <w:fldChar w:fldCharType="end"/>
            </w:r>
          </w:hyperlink>
        </w:p>
        <w:p w14:paraId="395DCA79" w14:textId="77777777" w:rsidR="00B43C4D" w:rsidRDefault="00077241">
          <w:pPr>
            <w:pStyle w:val="TOC2"/>
            <w:tabs>
              <w:tab w:val="right" w:leader="dot" w:pos="8306"/>
            </w:tabs>
            <w:rPr>
              <w:b/>
              <w:bCs/>
              <w:sz w:val="28"/>
              <w:szCs w:val="28"/>
            </w:rPr>
          </w:pPr>
          <w:hyperlink w:anchor="_Toc22372" w:history="1">
            <w:r w:rsidR="00B822D6">
              <w:rPr>
                <w:b/>
                <w:bCs/>
                <w:sz w:val="28"/>
                <w:szCs w:val="28"/>
              </w:rPr>
              <w:t>（三）投诉用户性别分布</w:t>
            </w:r>
            <w:r w:rsidR="00B822D6">
              <w:rPr>
                <w:b/>
                <w:bCs/>
                <w:sz w:val="28"/>
                <w:szCs w:val="28"/>
              </w:rPr>
              <w:tab/>
            </w:r>
            <w:r w:rsidR="00B822D6">
              <w:rPr>
                <w:b/>
                <w:bCs/>
                <w:sz w:val="28"/>
                <w:szCs w:val="28"/>
              </w:rPr>
              <w:fldChar w:fldCharType="begin"/>
            </w:r>
            <w:r w:rsidR="00B822D6">
              <w:rPr>
                <w:b/>
                <w:bCs/>
                <w:sz w:val="28"/>
                <w:szCs w:val="28"/>
              </w:rPr>
              <w:instrText xml:space="preserve"> PAGEREF _Toc22372 \h </w:instrText>
            </w:r>
            <w:r w:rsidR="00B822D6">
              <w:rPr>
                <w:b/>
                <w:bCs/>
                <w:sz w:val="28"/>
                <w:szCs w:val="28"/>
              </w:rPr>
            </w:r>
            <w:r w:rsidR="00B822D6">
              <w:rPr>
                <w:b/>
                <w:bCs/>
                <w:sz w:val="28"/>
                <w:szCs w:val="28"/>
              </w:rPr>
              <w:fldChar w:fldCharType="separate"/>
            </w:r>
            <w:r w:rsidR="00B822D6">
              <w:rPr>
                <w:b/>
                <w:bCs/>
                <w:sz w:val="28"/>
                <w:szCs w:val="28"/>
              </w:rPr>
              <w:t>5</w:t>
            </w:r>
            <w:r w:rsidR="00B822D6">
              <w:rPr>
                <w:b/>
                <w:bCs/>
                <w:sz w:val="28"/>
                <w:szCs w:val="28"/>
              </w:rPr>
              <w:fldChar w:fldCharType="end"/>
            </w:r>
          </w:hyperlink>
        </w:p>
        <w:p w14:paraId="5E2D4388" w14:textId="77777777" w:rsidR="00B43C4D" w:rsidRDefault="00077241">
          <w:pPr>
            <w:pStyle w:val="TOC2"/>
            <w:tabs>
              <w:tab w:val="right" w:leader="dot" w:pos="8306"/>
            </w:tabs>
            <w:rPr>
              <w:b/>
              <w:bCs/>
              <w:sz w:val="28"/>
              <w:szCs w:val="28"/>
            </w:rPr>
          </w:pPr>
          <w:hyperlink w:anchor="_Toc4758" w:history="1">
            <w:r w:rsidR="00B822D6">
              <w:rPr>
                <w:rFonts w:hint="eastAsia"/>
                <w:b/>
                <w:bCs/>
                <w:sz w:val="28"/>
                <w:szCs w:val="28"/>
              </w:rPr>
              <w:t>（四）投诉金额区间分布</w:t>
            </w:r>
            <w:r w:rsidR="00B822D6">
              <w:rPr>
                <w:b/>
                <w:bCs/>
                <w:sz w:val="28"/>
                <w:szCs w:val="28"/>
              </w:rPr>
              <w:tab/>
            </w:r>
            <w:r w:rsidR="00B822D6">
              <w:rPr>
                <w:b/>
                <w:bCs/>
                <w:sz w:val="28"/>
                <w:szCs w:val="28"/>
              </w:rPr>
              <w:fldChar w:fldCharType="begin"/>
            </w:r>
            <w:r w:rsidR="00B822D6">
              <w:rPr>
                <w:b/>
                <w:bCs/>
                <w:sz w:val="28"/>
                <w:szCs w:val="28"/>
              </w:rPr>
              <w:instrText xml:space="preserve"> PAGEREF _Toc4758 \h </w:instrText>
            </w:r>
            <w:r w:rsidR="00B822D6">
              <w:rPr>
                <w:b/>
                <w:bCs/>
                <w:sz w:val="28"/>
                <w:szCs w:val="28"/>
              </w:rPr>
            </w:r>
            <w:r w:rsidR="00B822D6">
              <w:rPr>
                <w:b/>
                <w:bCs/>
                <w:sz w:val="28"/>
                <w:szCs w:val="28"/>
              </w:rPr>
              <w:fldChar w:fldCharType="separate"/>
            </w:r>
            <w:r w:rsidR="00B822D6">
              <w:rPr>
                <w:b/>
                <w:bCs/>
                <w:sz w:val="28"/>
                <w:szCs w:val="28"/>
              </w:rPr>
              <w:t>6</w:t>
            </w:r>
            <w:r w:rsidR="00B822D6">
              <w:rPr>
                <w:b/>
                <w:bCs/>
                <w:sz w:val="28"/>
                <w:szCs w:val="28"/>
              </w:rPr>
              <w:fldChar w:fldCharType="end"/>
            </w:r>
          </w:hyperlink>
        </w:p>
        <w:p w14:paraId="0984AA27" w14:textId="77777777" w:rsidR="00B43C4D" w:rsidRDefault="00077241">
          <w:pPr>
            <w:pStyle w:val="TOC1"/>
            <w:tabs>
              <w:tab w:val="right" w:leader="dot" w:pos="8306"/>
            </w:tabs>
            <w:rPr>
              <w:rFonts w:ascii="微软雅黑" w:eastAsia="微软雅黑" w:hAnsi="微软雅黑"/>
              <w:b/>
              <w:bCs/>
              <w:sz w:val="28"/>
              <w:szCs w:val="36"/>
            </w:rPr>
          </w:pPr>
          <w:hyperlink w:anchor="_Toc1329" w:history="1">
            <w:r w:rsidR="00B822D6">
              <w:rPr>
                <w:rFonts w:ascii="微软雅黑" w:eastAsia="微软雅黑" w:hAnsi="微软雅黑" w:hint="eastAsia"/>
                <w:b/>
                <w:bCs/>
                <w:sz w:val="28"/>
                <w:szCs w:val="44"/>
              </w:rPr>
              <w:t>三、 评级数据与典型案例</w:t>
            </w:r>
            <w:r w:rsidR="00B822D6">
              <w:rPr>
                <w:rFonts w:ascii="微软雅黑" w:eastAsia="微软雅黑" w:hAnsi="微软雅黑"/>
                <w:b/>
                <w:bCs/>
                <w:sz w:val="28"/>
                <w:szCs w:val="36"/>
              </w:rPr>
              <w:tab/>
            </w:r>
            <w:r w:rsidR="00B822D6">
              <w:rPr>
                <w:rFonts w:ascii="微软雅黑" w:eastAsia="微软雅黑" w:hAnsi="微软雅黑"/>
                <w:b/>
                <w:bCs/>
                <w:sz w:val="28"/>
                <w:szCs w:val="36"/>
              </w:rPr>
              <w:fldChar w:fldCharType="begin"/>
            </w:r>
            <w:r w:rsidR="00B822D6">
              <w:rPr>
                <w:rFonts w:ascii="微软雅黑" w:eastAsia="微软雅黑" w:hAnsi="微软雅黑"/>
                <w:b/>
                <w:bCs/>
                <w:sz w:val="28"/>
                <w:szCs w:val="36"/>
              </w:rPr>
              <w:instrText xml:space="preserve"> PAGEREF _Toc1329 \h </w:instrText>
            </w:r>
            <w:r w:rsidR="00B822D6">
              <w:rPr>
                <w:rFonts w:ascii="微软雅黑" w:eastAsia="微软雅黑" w:hAnsi="微软雅黑"/>
                <w:b/>
                <w:bCs/>
                <w:sz w:val="28"/>
                <w:szCs w:val="36"/>
              </w:rPr>
            </w:r>
            <w:r w:rsidR="00B822D6">
              <w:rPr>
                <w:rFonts w:ascii="微软雅黑" w:eastAsia="微软雅黑" w:hAnsi="微软雅黑"/>
                <w:b/>
                <w:bCs/>
                <w:sz w:val="28"/>
                <w:szCs w:val="36"/>
              </w:rPr>
              <w:fldChar w:fldCharType="separate"/>
            </w:r>
            <w:r w:rsidR="00B822D6">
              <w:rPr>
                <w:rFonts w:ascii="微软雅黑" w:eastAsia="微软雅黑" w:hAnsi="微软雅黑"/>
                <w:b/>
                <w:bCs/>
                <w:sz w:val="28"/>
                <w:szCs w:val="36"/>
              </w:rPr>
              <w:t>7</w:t>
            </w:r>
            <w:r w:rsidR="00B822D6">
              <w:rPr>
                <w:rFonts w:ascii="微软雅黑" w:eastAsia="微软雅黑" w:hAnsi="微软雅黑"/>
                <w:b/>
                <w:bCs/>
                <w:sz w:val="28"/>
                <w:szCs w:val="36"/>
              </w:rPr>
              <w:fldChar w:fldCharType="end"/>
            </w:r>
          </w:hyperlink>
        </w:p>
        <w:p w14:paraId="4180434E" w14:textId="77777777" w:rsidR="00B43C4D" w:rsidRDefault="00077241">
          <w:pPr>
            <w:pStyle w:val="TOC2"/>
            <w:tabs>
              <w:tab w:val="right" w:leader="dot" w:pos="8306"/>
            </w:tabs>
            <w:rPr>
              <w:b/>
              <w:bCs/>
              <w:sz w:val="28"/>
              <w:szCs w:val="28"/>
            </w:rPr>
          </w:pPr>
          <w:hyperlink w:anchor="_Toc18998" w:history="1">
            <w:r w:rsidR="00B822D6">
              <w:rPr>
                <w:b/>
                <w:bCs/>
                <w:sz w:val="28"/>
                <w:szCs w:val="28"/>
              </w:rPr>
              <w:t>（一）数字零售数据与十大典型案例</w:t>
            </w:r>
            <w:r w:rsidR="00B822D6">
              <w:rPr>
                <w:b/>
                <w:bCs/>
                <w:sz w:val="28"/>
                <w:szCs w:val="28"/>
              </w:rPr>
              <w:tab/>
            </w:r>
            <w:r w:rsidR="00B822D6">
              <w:rPr>
                <w:b/>
                <w:bCs/>
                <w:sz w:val="28"/>
                <w:szCs w:val="28"/>
              </w:rPr>
              <w:fldChar w:fldCharType="begin"/>
            </w:r>
            <w:r w:rsidR="00B822D6">
              <w:rPr>
                <w:b/>
                <w:bCs/>
                <w:sz w:val="28"/>
                <w:szCs w:val="28"/>
              </w:rPr>
              <w:instrText xml:space="preserve"> PAGEREF _Toc18998 \h </w:instrText>
            </w:r>
            <w:r w:rsidR="00B822D6">
              <w:rPr>
                <w:b/>
                <w:bCs/>
                <w:sz w:val="28"/>
                <w:szCs w:val="28"/>
              </w:rPr>
            </w:r>
            <w:r w:rsidR="00B822D6">
              <w:rPr>
                <w:b/>
                <w:bCs/>
                <w:sz w:val="28"/>
                <w:szCs w:val="28"/>
              </w:rPr>
              <w:fldChar w:fldCharType="separate"/>
            </w:r>
            <w:r w:rsidR="00B822D6">
              <w:rPr>
                <w:b/>
                <w:bCs/>
                <w:sz w:val="28"/>
                <w:szCs w:val="28"/>
              </w:rPr>
              <w:t>8</w:t>
            </w:r>
            <w:r w:rsidR="00B822D6">
              <w:rPr>
                <w:b/>
                <w:bCs/>
                <w:sz w:val="28"/>
                <w:szCs w:val="28"/>
              </w:rPr>
              <w:fldChar w:fldCharType="end"/>
            </w:r>
          </w:hyperlink>
        </w:p>
        <w:p w14:paraId="70A2D675" w14:textId="77777777" w:rsidR="00B43C4D" w:rsidRDefault="00077241">
          <w:pPr>
            <w:pStyle w:val="TOC2"/>
            <w:tabs>
              <w:tab w:val="right" w:leader="dot" w:pos="8306"/>
            </w:tabs>
            <w:rPr>
              <w:b/>
              <w:bCs/>
              <w:sz w:val="28"/>
              <w:szCs w:val="28"/>
            </w:rPr>
          </w:pPr>
          <w:hyperlink w:anchor="_Toc18521" w:history="1">
            <w:r w:rsidR="00B822D6">
              <w:rPr>
                <w:rFonts w:hint="eastAsia"/>
                <w:b/>
                <w:bCs/>
                <w:sz w:val="28"/>
                <w:szCs w:val="28"/>
              </w:rPr>
              <w:t>（一）</w:t>
            </w:r>
            <w:r w:rsidR="00B822D6">
              <w:rPr>
                <w:b/>
                <w:bCs/>
                <w:sz w:val="28"/>
                <w:szCs w:val="28"/>
              </w:rPr>
              <w:t>数字生活数据与十大典型案例</w:t>
            </w:r>
            <w:r w:rsidR="00B822D6">
              <w:rPr>
                <w:b/>
                <w:bCs/>
                <w:sz w:val="28"/>
                <w:szCs w:val="28"/>
              </w:rPr>
              <w:tab/>
            </w:r>
            <w:r w:rsidR="00B822D6">
              <w:rPr>
                <w:b/>
                <w:bCs/>
                <w:sz w:val="28"/>
                <w:szCs w:val="28"/>
              </w:rPr>
              <w:fldChar w:fldCharType="begin"/>
            </w:r>
            <w:r w:rsidR="00B822D6">
              <w:rPr>
                <w:b/>
                <w:bCs/>
                <w:sz w:val="28"/>
                <w:szCs w:val="28"/>
              </w:rPr>
              <w:instrText xml:space="preserve"> PAGEREF _Toc18521 \h </w:instrText>
            </w:r>
            <w:r w:rsidR="00B822D6">
              <w:rPr>
                <w:b/>
                <w:bCs/>
                <w:sz w:val="28"/>
                <w:szCs w:val="28"/>
              </w:rPr>
            </w:r>
            <w:r w:rsidR="00B822D6">
              <w:rPr>
                <w:b/>
                <w:bCs/>
                <w:sz w:val="28"/>
                <w:szCs w:val="28"/>
              </w:rPr>
              <w:fldChar w:fldCharType="separate"/>
            </w:r>
            <w:r w:rsidR="00B822D6">
              <w:rPr>
                <w:b/>
                <w:bCs/>
                <w:sz w:val="28"/>
                <w:szCs w:val="28"/>
              </w:rPr>
              <w:t>14</w:t>
            </w:r>
            <w:r w:rsidR="00B822D6">
              <w:rPr>
                <w:b/>
                <w:bCs/>
                <w:sz w:val="28"/>
                <w:szCs w:val="28"/>
              </w:rPr>
              <w:fldChar w:fldCharType="end"/>
            </w:r>
          </w:hyperlink>
        </w:p>
        <w:p w14:paraId="320A3F84" w14:textId="77777777" w:rsidR="00B43C4D" w:rsidRDefault="00077241">
          <w:pPr>
            <w:pStyle w:val="TOC2"/>
            <w:tabs>
              <w:tab w:val="right" w:leader="dot" w:pos="8306"/>
            </w:tabs>
            <w:rPr>
              <w:b/>
              <w:bCs/>
              <w:sz w:val="28"/>
              <w:szCs w:val="28"/>
            </w:rPr>
          </w:pPr>
          <w:hyperlink w:anchor="_Toc15181" w:history="1">
            <w:r w:rsidR="00B822D6">
              <w:rPr>
                <w:rFonts w:ascii="宋体" w:eastAsia="宋体" w:hAnsi="宋体" w:cs="宋体" w:hint="eastAsia"/>
                <w:b/>
                <w:bCs/>
                <w:sz w:val="28"/>
                <w:szCs w:val="28"/>
              </w:rPr>
              <w:t>（</w:t>
            </w:r>
            <w:r w:rsidR="00B822D6">
              <w:rPr>
                <w:b/>
                <w:bCs/>
                <w:sz w:val="28"/>
                <w:szCs w:val="28"/>
              </w:rPr>
              <w:t>三）数字教育数据与十大</w:t>
            </w:r>
            <w:r w:rsidR="00B822D6">
              <w:rPr>
                <w:rFonts w:hint="eastAsia"/>
                <w:b/>
                <w:bCs/>
                <w:sz w:val="28"/>
                <w:szCs w:val="28"/>
              </w:rPr>
              <w:t>典型</w:t>
            </w:r>
            <w:r w:rsidR="00B822D6">
              <w:rPr>
                <w:b/>
                <w:bCs/>
                <w:sz w:val="28"/>
                <w:szCs w:val="28"/>
              </w:rPr>
              <w:t>案例</w:t>
            </w:r>
            <w:r w:rsidR="00B822D6">
              <w:rPr>
                <w:b/>
                <w:bCs/>
                <w:sz w:val="28"/>
                <w:szCs w:val="28"/>
              </w:rPr>
              <w:tab/>
            </w:r>
            <w:r w:rsidR="00B822D6">
              <w:rPr>
                <w:b/>
                <w:bCs/>
                <w:sz w:val="28"/>
                <w:szCs w:val="28"/>
              </w:rPr>
              <w:fldChar w:fldCharType="begin"/>
            </w:r>
            <w:r w:rsidR="00B822D6">
              <w:rPr>
                <w:b/>
                <w:bCs/>
                <w:sz w:val="28"/>
                <w:szCs w:val="28"/>
              </w:rPr>
              <w:instrText xml:space="preserve"> PAGEREF _Toc15181 \h </w:instrText>
            </w:r>
            <w:r w:rsidR="00B822D6">
              <w:rPr>
                <w:b/>
                <w:bCs/>
                <w:sz w:val="28"/>
                <w:szCs w:val="28"/>
              </w:rPr>
            </w:r>
            <w:r w:rsidR="00B822D6">
              <w:rPr>
                <w:b/>
                <w:bCs/>
                <w:sz w:val="28"/>
                <w:szCs w:val="28"/>
              </w:rPr>
              <w:fldChar w:fldCharType="separate"/>
            </w:r>
            <w:r w:rsidR="00B822D6">
              <w:rPr>
                <w:b/>
                <w:bCs/>
                <w:sz w:val="28"/>
                <w:szCs w:val="28"/>
              </w:rPr>
              <w:t>19</w:t>
            </w:r>
            <w:r w:rsidR="00B822D6">
              <w:rPr>
                <w:b/>
                <w:bCs/>
                <w:sz w:val="28"/>
                <w:szCs w:val="28"/>
              </w:rPr>
              <w:fldChar w:fldCharType="end"/>
            </w:r>
          </w:hyperlink>
        </w:p>
        <w:p w14:paraId="4E336BEA" w14:textId="77777777" w:rsidR="00B43C4D" w:rsidRDefault="00077241">
          <w:pPr>
            <w:pStyle w:val="TOC1"/>
            <w:tabs>
              <w:tab w:val="right" w:leader="dot" w:pos="8306"/>
            </w:tabs>
            <w:rPr>
              <w:rFonts w:ascii="微软雅黑" w:eastAsia="微软雅黑" w:hAnsi="微软雅黑"/>
              <w:b/>
              <w:bCs/>
              <w:sz w:val="28"/>
              <w:szCs w:val="36"/>
            </w:rPr>
          </w:pPr>
          <w:hyperlink w:anchor="_Toc23431" w:history="1">
            <w:r w:rsidR="00B822D6">
              <w:rPr>
                <w:rFonts w:ascii="微软雅黑" w:eastAsia="微软雅黑" w:hAnsi="微软雅黑" w:hint="eastAsia"/>
                <w:b/>
                <w:bCs/>
                <w:sz w:val="28"/>
                <w:szCs w:val="44"/>
              </w:rPr>
              <w:t>四、 关于我们</w:t>
            </w:r>
            <w:r w:rsidR="00B822D6">
              <w:rPr>
                <w:rFonts w:ascii="微软雅黑" w:eastAsia="微软雅黑" w:hAnsi="微软雅黑"/>
                <w:b/>
                <w:bCs/>
                <w:sz w:val="28"/>
                <w:szCs w:val="36"/>
              </w:rPr>
              <w:tab/>
            </w:r>
            <w:r w:rsidR="00B822D6">
              <w:rPr>
                <w:rFonts w:ascii="微软雅黑" w:eastAsia="微软雅黑" w:hAnsi="微软雅黑"/>
                <w:b/>
                <w:bCs/>
                <w:sz w:val="28"/>
                <w:szCs w:val="36"/>
              </w:rPr>
              <w:fldChar w:fldCharType="begin"/>
            </w:r>
            <w:r w:rsidR="00B822D6">
              <w:rPr>
                <w:rFonts w:ascii="微软雅黑" w:eastAsia="微软雅黑" w:hAnsi="微软雅黑"/>
                <w:b/>
                <w:bCs/>
                <w:sz w:val="28"/>
                <w:szCs w:val="36"/>
              </w:rPr>
              <w:instrText xml:space="preserve"> PAGEREF _Toc23431 \h </w:instrText>
            </w:r>
            <w:r w:rsidR="00B822D6">
              <w:rPr>
                <w:rFonts w:ascii="微软雅黑" w:eastAsia="微软雅黑" w:hAnsi="微软雅黑"/>
                <w:b/>
                <w:bCs/>
                <w:sz w:val="28"/>
                <w:szCs w:val="36"/>
              </w:rPr>
            </w:r>
            <w:r w:rsidR="00B822D6">
              <w:rPr>
                <w:rFonts w:ascii="微软雅黑" w:eastAsia="微软雅黑" w:hAnsi="微软雅黑"/>
                <w:b/>
                <w:bCs/>
                <w:sz w:val="28"/>
                <w:szCs w:val="36"/>
              </w:rPr>
              <w:fldChar w:fldCharType="separate"/>
            </w:r>
            <w:r w:rsidR="00B822D6">
              <w:rPr>
                <w:rFonts w:ascii="微软雅黑" w:eastAsia="微软雅黑" w:hAnsi="微软雅黑"/>
                <w:b/>
                <w:bCs/>
                <w:sz w:val="28"/>
                <w:szCs w:val="36"/>
              </w:rPr>
              <w:t>25</w:t>
            </w:r>
            <w:r w:rsidR="00B822D6">
              <w:rPr>
                <w:rFonts w:ascii="微软雅黑" w:eastAsia="微软雅黑" w:hAnsi="微软雅黑"/>
                <w:b/>
                <w:bCs/>
                <w:sz w:val="28"/>
                <w:szCs w:val="36"/>
              </w:rPr>
              <w:fldChar w:fldCharType="end"/>
            </w:r>
          </w:hyperlink>
        </w:p>
        <w:p w14:paraId="25BFDC5B" w14:textId="77777777" w:rsidR="00B43C4D" w:rsidRDefault="00077241">
          <w:pPr>
            <w:pStyle w:val="TOC2"/>
            <w:tabs>
              <w:tab w:val="right" w:leader="dot" w:pos="8306"/>
            </w:tabs>
            <w:rPr>
              <w:b/>
              <w:bCs/>
              <w:sz w:val="28"/>
              <w:szCs w:val="28"/>
            </w:rPr>
          </w:pPr>
          <w:hyperlink w:anchor="_Toc3082" w:history="1">
            <w:r w:rsidR="00B822D6">
              <w:rPr>
                <w:rFonts w:hint="eastAsia"/>
                <w:b/>
                <w:bCs/>
                <w:sz w:val="28"/>
                <w:szCs w:val="28"/>
              </w:rPr>
              <w:t>（一）</w:t>
            </w:r>
            <w:r w:rsidR="00B822D6">
              <w:rPr>
                <w:b/>
                <w:bCs/>
                <w:sz w:val="28"/>
                <w:szCs w:val="28"/>
              </w:rPr>
              <w:t>关于电诉宝</w:t>
            </w:r>
            <w:r w:rsidR="00B822D6">
              <w:rPr>
                <w:b/>
                <w:bCs/>
                <w:sz w:val="28"/>
                <w:szCs w:val="28"/>
              </w:rPr>
              <w:tab/>
            </w:r>
            <w:r w:rsidR="00B822D6">
              <w:rPr>
                <w:b/>
                <w:bCs/>
                <w:sz w:val="28"/>
                <w:szCs w:val="28"/>
              </w:rPr>
              <w:fldChar w:fldCharType="begin"/>
            </w:r>
            <w:r w:rsidR="00B822D6">
              <w:rPr>
                <w:b/>
                <w:bCs/>
                <w:sz w:val="28"/>
                <w:szCs w:val="28"/>
              </w:rPr>
              <w:instrText xml:space="preserve"> PAGEREF _Toc3082 \h </w:instrText>
            </w:r>
            <w:r w:rsidR="00B822D6">
              <w:rPr>
                <w:b/>
                <w:bCs/>
                <w:sz w:val="28"/>
                <w:szCs w:val="28"/>
              </w:rPr>
            </w:r>
            <w:r w:rsidR="00B822D6">
              <w:rPr>
                <w:b/>
                <w:bCs/>
                <w:sz w:val="28"/>
                <w:szCs w:val="28"/>
              </w:rPr>
              <w:fldChar w:fldCharType="separate"/>
            </w:r>
            <w:r w:rsidR="00B822D6">
              <w:rPr>
                <w:b/>
                <w:bCs/>
                <w:sz w:val="28"/>
                <w:szCs w:val="28"/>
              </w:rPr>
              <w:t>25</w:t>
            </w:r>
            <w:r w:rsidR="00B822D6">
              <w:rPr>
                <w:b/>
                <w:bCs/>
                <w:sz w:val="28"/>
                <w:szCs w:val="28"/>
              </w:rPr>
              <w:fldChar w:fldCharType="end"/>
            </w:r>
          </w:hyperlink>
        </w:p>
        <w:p w14:paraId="4C755B8F" w14:textId="77777777" w:rsidR="00B43C4D" w:rsidRDefault="00077241">
          <w:pPr>
            <w:pStyle w:val="TOC2"/>
            <w:tabs>
              <w:tab w:val="right" w:leader="dot" w:pos="8306"/>
            </w:tabs>
            <w:rPr>
              <w:b/>
              <w:bCs/>
              <w:sz w:val="28"/>
              <w:szCs w:val="28"/>
            </w:rPr>
          </w:pPr>
          <w:hyperlink w:anchor="_Toc4507" w:history="1">
            <w:r w:rsidR="00B822D6">
              <w:rPr>
                <w:rFonts w:asciiTheme="minorEastAsia" w:hAnsiTheme="minorEastAsia" w:cstheme="minorEastAsia" w:hint="eastAsia"/>
                <w:b/>
                <w:bCs/>
                <w:sz w:val="28"/>
                <w:szCs w:val="32"/>
              </w:rPr>
              <w:t>（二）关于网经社</w:t>
            </w:r>
            <w:r w:rsidR="00B822D6">
              <w:rPr>
                <w:b/>
                <w:bCs/>
                <w:sz w:val="28"/>
                <w:szCs w:val="28"/>
              </w:rPr>
              <w:tab/>
            </w:r>
            <w:r w:rsidR="00B822D6">
              <w:rPr>
                <w:b/>
                <w:bCs/>
                <w:sz w:val="28"/>
                <w:szCs w:val="28"/>
              </w:rPr>
              <w:fldChar w:fldCharType="begin"/>
            </w:r>
            <w:r w:rsidR="00B822D6">
              <w:rPr>
                <w:b/>
                <w:bCs/>
                <w:sz w:val="28"/>
                <w:szCs w:val="28"/>
              </w:rPr>
              <w:instrText xml:space="preserve"> PAGEREF _Toc4507 \h </w:instrText>
            </w:r>
            <w:r w:rsidR="00B822D6">
              <w:rPr>
                <w:b/>
                <w:bCs/>
                <w:sz w:val="28"/>
                <w:szCs w:val="28"/>
              </w:rPr>
            </w:r>
            <w:r w:rsidR="00B822D6">
              <w:rPr>
                <w:b/>
                <w:bCs/>
                <w:sz w:val="28"/>
                <w:szCs w:val="28"/>
              </w:rPr>
              <w:fldChar w:fldCharType="separate"/>
            </w:r>
            <w:r w:rsidR="00B822D6">
              <w:rPr>
                <w:b/>
                <w:bCs/>
                <w:sz w:val="28"/>
                <w:szCs w:val="28"/>
              </w:rPr>
              <w:t>27</w:t>
            </w:r>
            <w:r w:rsidR="00B822D6">
              <w:rPr>
                <w:b/>
                <w:bCs/>
                <w:sz w:val="28"/>
                <w:szCs w:val="28"/>
              </w:rPr>
              <w:fldChar w:fldCharType="end"/>
            </w:r>
          </w:hyperlink>
        </w:p>
        <w:p w14:paraId="4D46683F" w14:textId="77777777" w:rsidR="00B43C4D" w:rsidRDefault="00B822D6">
          <w:pPr>
            <w:rPr>
              <w:b/>
              <w:bCs/>
              <w:sz w:val="24"/>
              <w:szCs w:val="32"/>
            </w:rPr>
          </w:pPr>
          <w:r>
            <w:rPr>
              <w:rFonts w:hint="eastAsia"/>
              <w:b/>
              <w:bCs/>
              <w:sz w:val="24"/>
              <w:szCs w:val="32"/>
            </w:rPr>
            <w:fldChar w:fldCharType="end"/>
          </w:r>
        </w:p>
      </w:sdtContent>
    </w:sdt>
    <w:p w14:paraId="211A16ED" w14:textId="77777777" w:rsidR="00B43C4D" w:rsidRDefault="00B43C4D">
      <w:pPr>
        <w:sectPr w:rsidR="00B43C4D">
          <w:pgSz w:w="11906" w:h="16838"/>
          <w:pgMar w:top="1440" w:right="1800" w:bottom="1440" w:left="1800" w:header="851" w:footer="992" w:gutter="0"/>
          <w:cols w:space="425"/>
          <w:docGrid w:type="lines" w:linePitch="312"/>
        </w:sectPr>
      </w:pPr>
    </w:p>
    <w:p w14:paraId="00EE3401" w14:textId="77777777" w:rsidR="00B43C4D" w:rsidRDefault="00B822D6">
      <w:pPr>
        <w:pStyle w:val="1"/>
        <w:rPr>
          <w:rFonts w:ascii="微软雅黑" w:eastAsia="微软雅黑" w:hAnsi="微软雅黑" w:cs="微软雅黑"/>
          <w:sz w:val="32"/>
          <w:szCs w:val="32"/>
        </w:rPr>
      </w:pPr>
      <w:bookmarkStart w:id="0" w:name="_Toc3754"/>
      <w:bookmarkStart w:id="1" w:name="_Toc1615"/>
      <w:r>
        <w:rPr>
          <w:rFonts w:ascii="微软雅黑" w:eastAsia="微软雅黑" w:hAnsi="微软雅黑" w:cs="微软雅黑" w:hint="eastAsia"/>
          <w:sz w:val="32"/>
          <w:szCs w:val="32"/>
        </w:rPr>
        <w:lastRenderedPageBreak/>
        <w:t>一、</w:t>
      </w:r>
      <w:bookmarkEnd w:id="0"/>
      <w:r>
        <w:rPr>
          <w:rFonts w:ascii="微软雅黑" w:eastAsia="微软雅黑" w:hAnsi="微软雅黑" w:cs="微软雅黑" w:hint="eastAsia"/>
          <w:sz w:val="32"/>
          <w:szCs w:val="32"/>
        </w:rPr>
        <w:t>报告摘要</w:t>
      </w:r>
      <w:bookmarkEnd w:id="1"/>
    </w:p>
    <w:p w14:paraId="4D4DBCCA" w14:textId="77777777" w:rsidR="00B43C4D" w:rsidRDefault="00B822D6">
      <w:pPr>
        <w:spacing w:beforeLines="50" w:before="156" w:line="360" w:lineRule="auto"/>
        <w:ind w:firstLineChars="200" w:firstLine="480"/>
        <w:rPr>
          <w:rFonts w:ascii="宋体" w:eastAsia="宋体" w:hAnsi="宋体" w:cs="宋体"/>
          <w:sz w:val="24"/>
        </w:rPr>
      </w:pPr>
      <w:bookmarkStart w:id="2" w:name="_Toc30101"/>
      <w:bookmarkStart w:id="3" w:name="_Toc24811"/>
      <w:r>
        <w:rPr>
          <w:rFonts w:ascii="宋体" w:eastAsia="宋体" w:hAnsi="宋体" w:cs="宋体" w:hint="eastAsia"/>
          <w:sz w:val="24"/>
        </w:rPr>
        <w:t>2025年史上最长“618”年中大促节从5月13日开始至6月20日拉下帷幕，在“618”期间，消费市场在“618”年中大促引擎和政策协同发力的双重驱动下，展现出澎湃的数字消费动能与全域活力。</w:t>
      </w:r>
    </w:p>
    <w:p w14:paraId="3A507497" w14:textId="53311C81" w:rsidR="00B43C4D" w:rsidRDefault="00B822D6">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但长周期的大促也难免造成部分消费者的不良体验。网络消费纠纷调解平台“电诉宝”（315.100EC.CN)显示，</w:t>
      </w:r>
      <w:r w:rsidR="00F25697">
        <w:rPr>
          <w:rFonts w:ascii="宋体" w:eastAsia="宋体" w:hAnsi="宋体" w:cs="宋体" w:hint="eastAsia"/>
          <w:sz w:val="24"/>
        </w:rPr>
        <w:t>6</w:t>
      </w:r>
      <w:r w:rsidR="00F25697">
        <w:rPr>
          <w:rFonts w:ascii="宋体" w:eastAsia="宋体" w:hAnsi="宋体" w:cs="宋体"/>
          <w:sz w:val="24"/>
        </w:rPr>
        <w:t>18</w:t>
      </w:r>
      <w:r w:rsidR="00F25697">
        <w:rPr>
          <w:rFonts w:ascii="宋体" w:eastAsia="宋体" w:hAnsi="宋体" w:cs="宋体" w:hint="eastAsia"/>
          <w:sz w:val="24"/>
        </w:rPr>
        <w:t>期间，</w:t>
      </w:r>
      <w:r w:rsidRPr="00F25697">
        <w:rPr>
          <w:rFonts w:ascii="宋体" w:eastAsia="宋体" w:hAnsi="宋体" w:cs="宋体" w:hint="eastAsia"/>
          <w:b/>
          <w:bCs/>
          <w:sz w:val="24"/>
        </w:rPr>
        <w:t>退款问题、网络售假</w:t>
      </w:r>
      <w:r w:rsidR="00F25697" w:rsidRPr="00F25697">
        <w:rPr>
          <w:rFonts w:ascii="宋体" w:eastAsia="宋体" w:hAnsi="宋体" w:cs="宋体" w:hint="eastAsia"/>
          <w:b/>
          <w:bCs/>
          <w:sz w:val="24"/>
        </w:rPr>
        <w:t>、售后服务</w:t>
      </w:r>
      <w:r>
        <w:rPr>
          <w:rFonts w:ascii="宋体" w:eastAsia="宋体" w:hAnsi="宋体" w:cs="宋体" w:hint="eastAsia"/>
          <w:sz w:val="24"/>
        </w:rPr>
        <w:t>等是投诉“重灾区”。</w:t>
      </w:r>
    </w:p>
    <w:p w14:paraId="3B9596AE" w14:textId="77777777" w:rsidR="00B43C4D" w:rsidRDefault="00B822D6">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在此背景下，2025年7月</w:t>
      </w:r>
      <w:r>
        <w:rPr>
          <w:rFonts w:ascii="宋体" w:eastAsia="宋体" w:hAnsi="宋体" w:cs="宋体"/>
          <w:sz w:val="24"/>
        </w:rPr>
        <w:t>3</w:t>
      </w:r>
      <w:r>
        <w:rPr>
          <w:rFonts w:ascii="宋体" w:eastAsia="宋体" w:hAnsi="宋体" w:cs="宋体" w:hint="eastAsia"/>
          <w:sz w:val="24"/>
        </w:rPr>
        <w:t>日，依据国内知名网络</w:t>
      </w:r>
      <w:hyperlink r:id="rId12" w:tgtFrame="https://www.100ec.cn/_blank" w:history="1">
        <w:r>
          <w:rPr>
            <w:rFonts w:ascii="宋体" w:eastAsia="宋体" w:hAnsi="宋体" w:cs="宋体" w:hint="eastAsia"/>
            <w:sz w:val="24"/>
          </w:rPr>
          <w:t>消费</w:t>
        </w:r>
      </w:hyperlink>
      <w:hyperlink r:id="rId13" w:tgtFrame="https://www.100ec.cn/_blank" w:history="1">
        <w:r>
          <w:rPr>
            <w:rFonts w:ascii="宋体" w:eastAsia="宋体" w:hAnsi="宋体" w:cs="宋体" w:hint="eastAsia"/>
            <w:sz w:val="24"/>
          </w:rPr>
          <w:t>纠纷</w:t>
        </w:r>
      </w:hyperlink>
      <w:hyperlink r:id="rId14"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5" w:tgtFrame="https://www.100ec.cn/_blank" w:history="1">
        <w:r>
          <w:rPr>
            <w:rFonts w:ascii="宋体" w:eastAsia="宋体" w:hAnsi="宋体" w:cs="宋体" w:hint="eastAsia"/>
            <w:sz w:val="24"/>
          </w:rPr>
          <w:t>电诉宝</w:t>
        </w:r>
      </w:hyperlink>
      <w:r>
        <w:rPr>
          <w:rFonts w:ascii="宋体" w:eastAsia="宋体" w:hAnsi="宋体" w:cs="宋体" w:hint="eastAsia"/>
          <w:sz w:val="24"/>
        </w:rPr>
        <w:t>”（</w:t>
      </w:r>
      <w:hyperlink r:id="rId16" w:tgtFrame="https://www.100ec.cn/_self" w:history="1">
        <w:r>
          <w:rPr>
            <w:rFonts w:ascii="宋体" w:eastAsia="宋体" w:hAnsi="宋体" w:cs="宋体" w:hint="eastAsia"/>
            <w:sz w:val="24"/>
          </w:rPr>
          <w:t>315.100EC.CN</w:t>
        </w:r>
      </w:hyperlink>
      <w:r>
        <w:rPr>
          <w:rFonts w:ascii="宋体" w:eastAsia="宋体" w:hAnsi="宋体" w:cs="宋体" w:hint="eastAsia"/>
          <w:sz w:val="24"/>
        </w:rPr>
        <w:t>）“618”期间所受理的全国</w:t>
      </w:r>
      <w:r>
        <w:rPr>
          <w:rFonts w:ascii="宋体" w:eastAsia="宋体" w:hAnsi="宋体" w:cs="宋体" w:hint="eastAsia"/>
          <w:b/>
          <w:bCs/>
          <w:sz w:val="24"/>
        </w:rPr>
        <w:t>89家</w:t>
      </w:r>
      <w:r>
        <w:rPr>
          <w:rFonts w:ascii="宋体" w:eastAsia="宋体" w:hAnsi="宋体" w:cs="宋体" w:hint="eastAsia"/>
          <w:sz w:val="24"/>
        </w:rPr>
        <w:t>互联网消费平台纠纷大量</w:t>
      </w:r>
      <w:hyperlink r:id="rId17" w:tgtFrame="https://www.100ec.cn/_blank" w:history="1">
        <w:r>
          <w:rPr>
            <w:rFonts w:ascii="宋体" w:eastAsia="宋体" w:hAnsi="宋体" w:cs="宋体" w:hint="eastAsia"/>
            <w:sz w:val="24"/>
          </w:rPr>
          <w:t>案例</w:t>
        </w:r>
      </w:hyperlink>
      <w:hyperlink r:id="rId18" w:tgtFrame="https://www.100ec.cn/_blank" w:history="1">
        <w:r>
          <w:rPr>
            <w:rFonts w:ascii="宋体" w:eastAsia="宋体" w:hAnsi="宋体" w:cs="宋体" w:hint="eastAsia"/>
            <w:sz w:val="24"/>
          </w:rPr>
          <w:t>数据</w:t>
        </w:r>
      </w:hyperlink>
      <w:r>
        <w:rPr>
          <w:rFonts w:ascii="宋体" w:eastAsia="宋体" w:hAnsi="宋体" w:cs="宋体" w:hint="eastAsia"/>
          <w:sz w:val="24"/>
        </w:rPr>
        <w:t>，分析“618”期间电商平台用户投诉数据，窥见当前电商平台消费者困境。</w:t>
      </w:r>
    </w:p>
    <w:p w14:paraId="74C2522C" w14:textId="2ECCBBCA" w:rsidR="00B43C4D" w:rsidRDefault="00B822D6">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报告涉及了数字零售、数字生活及数字教育三大板块。公布了202</w:t>
      </w:r>
      <w:r>
        <w:rPr>
          <w:rFonts w:ascii="宋体" w:eastAsia="宋体" w:hAnsi="宋体" w:cs="宋体"/>
          <w:sz w:val="24"/>
        </w:rPr>
        <w:t>5</w:t>
      </w:r>
      <w:r>
        <w:rPr>
          <w:rFonts w:ascii="宋体" w:eastAsia="宋体" w:hAnsi="宋体" w:cs="宋体" w:hint="eastAsia"/>
          <w:sz w:val="24"/>
        </w:rPr>
        <w:t>年618 期间网络消费投诉数据及《202</w:t>
      </w:r>
      <w:r>
        <w:rPr>
          <w:rFonts w:ascii="宋体" w:eastAsia="宋体" w:hAnsi="宋体" w:cs="宋体"/>
          <w:sz w:val="24"/>
        </w:rPr>
        <w:t>5</w:t>
      </w:r>
      <w:r>
        <w:rPr>
          <w:rFonts w:ascii="宋体" w:eastAsia="宋体" w:hAnsi="宋体" w:cs="宋体" w:hint="eastAsia"/>
          <w:sz w:val="24"/>
        </w:rPr>
        <w:t>年618期间数字零售十大典型投诉案例》《202</w:t>
      </w:r>
      <w:r>
        <w:rPr>
          <w:rFonts w:ascii="宋体" w:eastAsia="宋体" w:hAnsi="宋体" w:cs="宋体"/>
          <w:sz w:val="24"/>
        </w:rPr>
        <w:t>5</w:t>
      </w:r>
      <w:r>
        <w:rPr>
          <w:rFonts w:ascii="宋体" w:eastAsia="宋体" w:hAnsi="宋体" w:cs="宋体" w:hint="eastAsia"/>
          <w:sz w:val="24"/>
        </w:rPr>
        <w:t xml:space="preserve"> 年618 期间数字生活十大典型投诉案例》和《202</w:t>
      </w:r>
      <w:r>
        <w:rPr>
          <w:rFonts w:ascii="宋体" w:eastAsia="宋体" w:hAnsi="宋体" w:cs="宋体"/>
          <w:sz w:val="24"/>
        </w:rPr>
        <w:t>5</w:t>
      </w:r>
      <w:r>
        <w:rPr>
          <w:rFonts w:ascii="宋体" w:eastAsia="宋体" w:hAnsi="宋体" w:cs="宋体" w:hint="eastAsia"/>
          <w:sz w:val="24"/>
        </w:rPr>
        <w:t>年618 期间数字教育十大典型投诉案例》。</w:t>
      </w:r>
    </w:p>
    <w:p w14:paraId="5DD74E54" w14:textId="77777777" w:rsidR="00B43C4D" w:rsidRDefault="00B822D6">
      <w:pPr>
        <w:pStyle w:val="1"/>
        <w:rPr>
          <w:rFonts w:ascii="微软雅黑" w:eastAsia="微软雅黑" w:hAnsi="微软雅黑" w:cs="微软雅黑"/>
          <w:sz w:val="32"/>
          <w:szCs w:val="32"/>
        </w:rPr>
      </w:pPr>
      <w:bookmarkStart w:id="4" w:name="_Toc4190"/>
      <w:r>
        <w:rPr>
          <w:rFonts w:ascii="微软雅黑" w:eastAsia="微软雅黑" w:hAnsi="微软雅黑" w:cs="微软雅黑" w:hint="eastAsia"/>
          <w:sz w:val="32"/>
          <w:szCs w:val="32"/>
        </w:rPr>
        <w:t>二、整体数据</w:t>
      </w:r>
      <w:bookmarkEnd w:id="4"/>
    </w:p>
    <w:p w14:paraId="27E4DF88" w14:textId="77777777" w:rsidR="00B43C4D" w:rsidRDefault="00B822D6">
      <w:pPr>
        <w:pStyle w:val="2"/>
      </w:pPr>
      <w:bookmarkStart w:id="5" w:name="_Toc21630"/>
      <w:bookmarkStart w:id="6" w:name="_Toc27903"/>
      <w:bookmarkEnd w:id="2"/>
      <w:bookmarkEnd w:id="3"/>
      <w:r>
        <w:rPr>
          <w:rFonts w:hint="eastAsia"/>
        </w:rPr>
        <w:t>（一）</w:t>
      </w:r>
      <w:bookmarkEnd w:id="5"/>
      <w:r>
        <w:rPr>
          <w:rFonts w:hint="eastAsia"/>
        </w:rPr>
        <w:t>投诉问题类型分布</w:t>
      </w:r>
      <w:bookmarkEnd w:id="6"/>
    </w:p>
    <w:p w14:paraId="12603748" w14:textId="77777777" w:rsidR="00B43C4D" w:rsidRDefault="00B822D6">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据“电诉宝”显示，2025年“618”期间全国网络消费投诉问题类型TOP10中，退款问题占比高达</w:t>
      </w:r>
      <w:r>
        <w:rPr>
          <w:rFonts w:ascii="宋体" w:eastAsia="宋体" w:hAnsi="宋体" w:cs="宋体" w:hint="eastAsia"/>
          <w:b/>
          <w:bCs/>
          <w:sz w:val="24"/>
        </w:rPr>
        <w:t>16.858%</w:t>
      </w:r>
      <w:r>
        <w:rPr>
          <w:rFonts w:ascii="宋体" w:eastAsia="宋体" w:hAnsi="宋体" w:cs="宋体" w:hint="eastAsia"/>
          <w:sz w:val="24"/>
        </w:rPr>
        <w:t>，其余问题类型依次为任意仅退款（</w:t>
      </w:r>
      <w:r>
        <w:rPr>
          <w:rFonts w:ascii="宋体" w:eastAsia="宋体" w:hAnsi="宋体" w:cs="宋体" w:hint="eastAsia"/>
          <w:b/>
          <w:bCs/>
          <w:sz w:val="24"/>
        </w:rPr>
        <w:t>13.779%</w:t>
      </w:r>
      <w:r>
        <w:rPr>
          <w:rFonts w:ascii="宋体" w:eastAsia="宋体" w:hAnsi="宋体" w:cs="宋体" w:hint="eastAsia"/>
          <w:sz w:val="24"/>
        </w:rPr>
        <w:t>）、其他（</w:t>
      </w:r>
      <w:r>
        <w:rPr>
          <w:rFonts w:ascii="宋体" w:eastAsia="宋体" w:hAnsi="宋体" w:cs="宋体" w:hint="eastAsia"/>
          <w:b/>
          <w:bCs/>
          <w:sz w:val="24"/>
        </w:rPr>
        <w:t>8.716%</w:t>
      </w:r>
      <w:r>
        <w:rPr>
          <w:rFonts w:ascii="宋体" w:eastAsia="宋体" w:hAnsi="宋体" w:cs="宋体" w:hint="eastAsia"/>
          <w:sz w:val="24"/>
        </w:rPr>
        <w:t>）、商品质量（</w:t>
      </w:r>
      <w:r>
        <w:rPr>
          <w:rFonts w:ascii="宋体" w:eastAsia="宋体" w:hAnsi="宋体" w:cs="宋体" w:hint="eastAsia"/>
          <w:b/>
          <w:bCs/>
          <w:sz w:val="24"/>
        </w:rPr>
        <w:t>8.716%</w:t>
      </w:r>
      <w:r>
        <w:rPr>
          <w:rFonts w:ascii="宋体" w:eastAsia="宋体" w:hAnsi="宋体" w:cs="宋体" w:hint="eastAsia"/>
          <w:sz w:val="24"/>
        </w:rPr>
        <w:t>）、过度维护消费者（</w:t>
      </w:r>
      <w:r>
        <w:rPr>
          <w:rFonts w:ascii="宋体" w:eastAsia="宋体" w:hAnsi="宋体" w:cs="宋体" w:hint="eastAsia"/>
          <w:b/>
          <w:bCs/>
          <w:sz w:val="24"/>
        </w:rPr>
        <w:t>6.263%</w:t>
      </w:r>
      <w:r>
        <w:rPr>
          <w:rFonts w:ascii="宋体" w:eastAsia="宋体" w:hAnsi="宋体" w:cs="宋体" w:hint="eastAsia"/>
          <w:sz w:val="24"/>
        </w:rPr>
        <w:t>）、售后服务（</w:t>
      </w:r>
      <w:r>
        <w:rPr>
          <w:rFonts w:ascii="宋体" w:eastAsia="宋体" w:hAnsi="宋体" w:cs="宋体" w:hint="eastAsia"/>
          <w:b/>
          <w:bCs/>
          <w:sz w:val="24"/>
        </w:rPr>
        <w:t>6.159%</w:t>
      </w:r>
      <w:r>
        <w:rPr>
          <w:rFonts w:ascii="宋体" w:eastAsia="宋体" w:hAnsi="宋体" w:cs="宋体" w:hint="eastAsia"/>
          <w:sz w:val="24"/>
        </w:rPr>
        <w:t>）、网络欺诈（</w:t>
      </w:r>
      <w:r>
        <w:rPr>
          <w:rFonts w:ascii="宋体" w:eastAsia="宋体" w:hAnsi="宋体" w:cs="宋体" w:hint="eastAsia"/>
          <w:b/>
          <w:bCs/>
          <w:sz w:val="24"/>
        </w:rPr>
        <w:t>4.958%</w:t>
      </w:r>
      <w:r>
        <w:rPr>
          <w:rFonts w:ascii="宋体" w:eastAsia="宋体" w:hAnsi="宋体" w:cs="宋体" w:hint="eastAsia"/>
          <w:sz w:val="24"/>
        </w:rPr>
        <w:t>）、任意罚款（</w:t>
      </w:r>
      <w:r>
        <w:rPr>
          <w:rFonts w:ascii="宋体" w:eastAsia="宋体" w:hAnsi="宋体" w:cs="宋体" w:hint="eastAsia"/>
          <w:b/>
          <w:bCs/>
          <w:sz w:val="24"/>
        </w:rPr>
        <w:t>4.489%</w:t>
      </w:r>
      <w:r>
        <w:rPr>
          <w:rFonts w:ascii="宋体" w:eastAsia="宋体" w:hAnsi="宋体" w:cs="宋体" w:hint="eastAsia"/>
          <w:sz w:val="24"/>
        </w:rPr>
        <w:t>）、扣押保证金（</w:t>
      </w:r>
      <w:r>
        <w:rPr>
          <w:rFonts w:ascii="宋体" w:eastAsia="宋体" w:hAnsi="宋体" w:cs="宋体" w:hint="eastAsia"/>
          <w:b/>
          <w:bCs/>
          <w:sz w:val="24"/>
        </w:rPr>
        <w:t>4.228%</w:t>
      </w:r>
      <w:r>
        <w:rPr>
          <w:rFonts w:ascii="宋体" w:eastAsia="宋体" w:hAnsi="宋体" w:cs="宋体" w:hint="eastAsia"/>
          <w:sz w:val="24"/>
        </w:rPr>
        <w:t>）、网络售假（</w:t>
      </w:r>
      <w:r>
        <w:rPr>
          <w:rFonts w:ascii="宋体" w:eastAsia="宋体" w:hAnsi="宋体" w:cs="宋体" w:hint="eastAsia"/>
          <w:b/>
          <w:bCs/>
          <w:sz w:val="24"/>
        </w:rPr>
        <w:t>3.862%</w:t>
      </w:r>
      <w:r>
        <w:rPr>
          <w:rFonts w:ascii="宋体" w:eastAsia="宋体" w:hAnsi="宋体" w:cs="宋体" w:hint="eastAsia"/>
          <w:sz w:val="24"/>
        </w:rPr>
        <w:t>）。</w:t>
      </w:r>
    </w:p>
    <w:p w14:paraId="10357497" w14:textId="77777777" w:rsidR="00B43C4D" w:rsidRDefault="00B822D6">
      <w:pPr>
        <w:pStyle w:val="2"/>
      </w:pPr>
      <w:bookmarkStart w:id="7" w:name="_Toc27936"/>
      <w:bookmarkStart w:id="8" w:name="_Toc17807"/>
      <w:r>
        <w:rPr>
          <w:rFonts w:asciiTheme="minorEastAsia" w:eastAsia="宋体" w:hAnsiTheme="minorEastAsia" w:cstheme="minorEastAsia"/>
          <w:noProof/>
        </w:rPr>
        <w:lastRenderedPageBreak/>
        <w:drawing>
          <wp:anchor distT="0" distB="0" distL="0" distR="0" simplePos="0" relativeHeight="251660288" behindDoc="0" locked="0" layoutInCell="1" allowOverlap="1" wp14:anchorId="5E7336B9" wp14:editId="050750BF">
            <wp:simplePos x="0" y="0"/>
            <wp:positionH relativeFrom="column">
              <wp:posOffset>83185</wp:posOffset>
            </wp:positionH>
            <wp:positionV relativeFrom="paragraph">
              <wp:posOffset>75565</wp:posOffset>
            </wp:positionV>
            <wp:extent cx="5274310" cy="357441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3574415"/>
                    </a:xfrm>
                    <a:prstGeom prst="rect">
                      <a:avLst/>
                    </a:prstGeom>
                  </pic:spPr>
                </pic:pic>
              </a:graphicData>
            </a:graphic>
          </wp:anchor>
        </w:drawing>
      </w:r>
      <w:r>
        <w:rPr>
          <w:rFonts w:hint="eastAsia"/>
        </w:rPr>
        <w:t>（二）投诉地区分布</w:t>
      </w:r>
      <w:bookmarkEnd w:id="7"/>
      <w:bookmarkEnd w:id="8"/>
    </w:p>
    <w:p w14:paraId="6DC67781" w14:textId="77777777" w:rsidR="00B43C4D" w:rsidRDefault="00B822D6">
      <w:pPr>
        <w:spacing w:beforeLines="50" w:before="156" w:line="360" w:lineRule="auto"/>
        <w:ind w:firstLineChars="200" w:firstLine="480"/>
        <w:rPr>
          <w:rFonts w:ascii="宋体" w:eastAsia="宋体" w:hAnsi="宋体" w:cs="宋体"/>
          <w:sz w:val="24"/>
        </w:rPr>
      </w:pPr>
      <w:r>
        <w:rPr>
          <w:rFonts w:ascii="宋体" w:eastAsia="宋体" w:hAnsi="宋体" w:cs="宋体"/>
          <w:sz w:val="24"/>
        </w:rPr>
        <w:t>618</w:t>
      </w:r>
      <w:r>
        <w:rPr>
          <w:rFonts w:ascii="宋体" w:eastAsia="宋体" w:hAnsi="宋体" w:cs="宋体" w:hint="eastAsia"/>
          <w:sz w:val="24"/>
        </w:rPr>
        <w:t>期间，“电诉宝”受理投诉用户聚集地区TOP10依次为广东省（</w:t>
      </w:r>
      <w:r>
        <w:rPr>
          <w:rFonts w:ascii="宋体" w:eastAsia="宋体" w:hAnsi="宋体" w:cs="宋体" w:hint="eastAsia"/>
          <w:b/>
          <w:bCs/>
          <w:sz w:val="24"/>
        </w:rPr>
        <w:t>1</w:t>
      </w:r>
      <w:r>
        <w:rPr>
          <w:rFonts w:ascii="宋体" w:eastAsia="宋体" w:hAnsi="宋体" w:cs="宋体"/>
          <w:b/>
          <w:bCs/>
          <w:sz w:val="24"/>
        </w:rPr>
        <w:t>8.870</w:t>
      </w:r>
      <w:r>
        <w:rPr>
          <w:rFonts w:ascii="宋体" w:eastAsia="宋体" w:hAnsi="宋体" w:cs="宋体" w:hint="eastAsia"/>
          <w:b/>
          <w:bCs/>
          <w:sz w:val="24"/>
        </w:rPr>
        <w:t>%</w:t>
      </w:r>
      <w:r>
        <w:rPr>
          <w:rFonts w:ascii="宋体" w:eastAsia="宋体" w:hAnsi="宋体" w:cs="宋体" w:hint="eastAsia"/>
          <w:sz w:val="24"/>
        </w:rPr>
        <w:t>）、浙江省（</w:t>
      </w:r>
      <w:r>
        <w:rPr>
          <w:rFonts w:ascii="宋体" w:eastAsia="宋体" w:hAnsi="宋体" w:cs="宋体" w:hint="eastAsia"/>
          <w:b/>
          <w:bCs/>
          <w:sz w:val="24"/>
        </w:rPr>
        <w:t>9</w:t>
      </w:r>
      <w:r>
        <w:rPr>
          <w:rFonts w:ascii="宋体" w:eastAsia="宋体" w:hAnsi="宋体" w:cs="宋体"/>
          <w:b/>
          <w:bCs/>
          <w:sz w:val="24"/>
        </w:rPr>
        <w:t>.040</w:t>
      </w:r>
      <w:r>
        <w:rPr>
          <w:rFonts w:ascii="宋体" w:eastAsia="宋体" w:hAnsi="宋体" w:cs="宋体" w:hint="eastAsia"/>
          <w:b/>
          <w:bCs/>
          <w:sz w:val="24"/>
        </w:rPr>
        <w:t>%</w:t>
      </w:r>
      <w:r>
        <w:rPr>
          <w:rFonts w:ascii="宋体" w:eastAsia="宋体" w:hAnsi="宋体" w:cs="宋体" w:hint="eastAsia"/>
          <w:sz w:val="24"/>
        </w:rPr>
        <w:t>）、山东省（</w:t>
      </w:r>
      <w:r>
        <w:rPr>
          <w:rFonts w:ascii="宋体" w:eastAsia="宋体" w:hAnsi="宋体" w:cs="宋体" w:hint="eastAsia"/>
          <w:b/>
          <w:bCs/>
          <w:sz w:val="24"/>
        </w:rPr>
        <w:t>7.</w:t>
      </w:r>
      <w:r>
        <w:rPr>
          <w:rFonts w:ascii="宋体" w:eastAsia="宋体" w:hAnsi="宋体" w:cs="宋体"/>
          <w:b/>
          <w:bCs/>
          <w:sz w:val="24"/>
        </w:rPr>
        <w:t>345</w:t>
      </w:r>
      <w:r>
        <w:rPr>
          <w:rFonts w:ascii="宋体" w:eastAsia="宋体" w:hAnsi="宋体" w:cs="宋体" w:hint="eastAsia"/>
          <w:b/>
          <w:bCs/>
          <w:sz w:val="24"/>
        </w:rPr>
        <w:t>%</w:t>
      </w:r>
      <w:r>
        <w:rPr>
          <w:rFonts w:ascii="宋体" w:eastAsia="宋体" w:hAnsi="宋体" w:cs="宋体" w:hint="eastAsia"/>
          <w:sz w:val="24"/>
        </w:rPr>
        <w:t>）、河南省（</w:t>
      </w:r>
      <w:r>
        <w:rPr>
          <w:rFonts w:ascii="宋体" w:eastAsia="宋体" w:hAnsi="宋体" w:cs="宋体" w:hint="eastAsia"/>
          <w:b/>
          <w:bCs/>
          <w:sz w:val="24"/>
        </w:rPr>
        <w:t>5</w:t>
      </w:r>
      <w:r>
        <w:rPr>
          <w:rFonts w:ascii="宋体" w:eastAsia="宋体" w:hAnsi="宋体" w:cs="宋体"/>
          <w:b/>
          <w:bCs/>
          <w:sz w:val="24"/>
        </w:rPr>
        <w:t>.424</w:t>
      </w:r>
      <w:r>
        <w:rPr>
          <w:rFonts w:ascii="宋体" w:eastAsia="宋体" w:hAnsi="宋体" w:cs="宋体" w:hint="eastAsia"/>
          <w:b/>
          <w:bCs/>
          <w:sz w:val="24"/>
        </w:rPr>
        <w:t>%</w:t>
      </w:r>
      <w:r>
        <w:rPr>
          <w:rFonts w:ascii="宋体" w:eastAsia="宋体" w:hAnsi="宋体" w:cs="宋体" w:hint="eastAsia"/>
          <w:sz w:val="24"/>
        </w:rPr>
        <w:t>）、江苏省（</w:t>
      </w:r>
      <w:r>
        <w:rPr>
          <w:rFonts w:ascii="宋体" w:eastAsia="宋体" w:hAnsi="宋体" w:cs="宋体" w:hint="eastAsia"/>
          <w:b/>
          <w:bCs/>
          <w:sz w:val="24"/>
        </w:rPr>
        <w:t>5.</w:t>
      </w:r>
      <w:r>
        <w:rPr>
          <w:rFonts w:ascii="宋体" w:eastAsia="宋体" w:hAnsi="宋体" w:cs="宋体"/>
          <w:b/>
          <w:bCs/>
          <w:sz w:val="24"/>
        </w:rPr>
        <w:t>085</w:t>
      </w:r>
      <w:r>
        <w:rPr>
          <w:rFonts w:ascii="宋体" w:eastAsia="宋体" w:hAnsi="宋体" w:cs="宋体" w:hint="eastAsia"/>
          <w:b/>
          <w:bCs/>
          <w:sz w:val="24"/>
        </w:rPr>
        <w:t>%</w:t>
      </w:r>
      <w:r>
        <w:rPr>
          <w:rFonts w:ascii="宋体" w:eastAsia="宋体" w:hAnsi="宋体" w:cs="宋体" w:hint="eastAsia"/>
          <w:sz w:val="24"/>
        </w:rPr>
        <w:t>）、北京市（</w:t>
      </w:r>
      <w:r>
        <w:rPr>
          <w:rFonts w:ascii="宋体" w:eastAsia="宋体" w:hAnsi="宋体" w:cs="宋体" w:hint="eastAsia"/>
          <w:b/>
          <w:bCs/>
          <w:sz w:val="24"/>
        </w:rPr>
        <w:t>4.</w:t>
      </w:r>
      <w:r>
        <w:rPr>
          <w:rFonts w:ascii="宋体" w:eastAsia="宋体" w:hAnsi="宋体" w:cs="宋体"/>
          <w:b/>
          <w:bCs/>
          <w:sz w:val="24"/>
        </w:rPr>
        <w:t>859</w:t>
      </w:r>
      <w:r>
        <w:rPr>
          <w:rFonts w:ascii="宋体" w:eastAsia="宋体" w:hAnsi="宋体" w:cs="宋体" w:hint="eastAsia"/>
          <w:b/>
          <w:bCs/>
          <w:sz w:val="24"/>
        </w:rPr>
        <w:t>%</w:t>
      </w:r>
      <w:r>
        <w:rPr>
          <w:rFonts w:ascii="宋体" w:eastAsia="宋体" w:hAnsi="宋体" w:cs="宋体" w:hint="eastAsia"/>
          <w:sz w:val="24"/>
        </w:rPr>
        <w:t>）、福建省（</w:t>
      </w:r>
      <w:r>
        <w:rPr>
          <w:rFonts w:ascii="宋体" w:eastAsia="宋体" w:hAnsi="宋体" w:cs="宋体" w:hint="eastAsia"/>
          <w:b/>
          <w:bCs/>
          <w:sz w:val="24"/>
        </w:rPr>
        <w:t>4</w:t>
      </w:r>
      <w:r>
        <w:rPr>
          <w:rFonts w:ascii="宋体" w:eastAsia="宋体" w:hAnsi="宋体" w:cs="宋体"/>
          <w:b/>
          <w:bCs/>
          <w:sz w:val="24"/>
        </w:rPr>
        <w:t>.633</w:t>
      </w:r>
      <w:r>
        <w:rPr>
          <w:rFonts w:ascii="宋体" w:eastAsia="宋体" w:hAnsi="宋体" w:cs="宋体" w:hint="eastAsia"/>
          <w:b/>
          <w:bCs/>
          <w:sz w:val="24"/>
        </w:rPr>
        <w:t>%</w:t>
      </w:r>
      <w:r>
        <w:rPr>
          <w:rFonts w:ascii="宋体" w:eastAsia="宋体" w:hAnsi="宋体" w:cs="宋体" w:hint="eastAsia"/>
          <w:sz w:val="24"/>
        </w:rPr>
        <w:t>）、江西省（</w:t>
      </w:r>
      <w:r>
        <w:rPr>
          <w:rFonts w:ascii="宋体" w:eastAsia="宋体" w:hAnsi="宋体" w:cs="宋体" w:hint="eastAsia"/>
          <w:b/>
          <w:bCs/>
          <w:sz w:val="24"/>
        </w:rPr>
        <w:t>4.</w:t>
      </w:r>
      <w:r>
        <w:rPr>
          <w:rFonts w:ascii="宋体" w:eastAsia="宋体" w:hAnsi="宋体" w:cs="宋体"/>
          <w:b/>
          <w:bCs/>
          <w:sz w:val="24"/>
        </w:rPr>
        <w:t>181</w:t>
      </w:r>
      <w:r>
        <w:rPr>
          <w:rFonts w:ascii="宋体" w:eastAsia="宋体" w:hAnsi="宋体" w:cs="宋体" w:hint="eastAsia"/>
          <w:b/>
          <w:bCs/>
          <w:sz w:val="24"/>
        </w:rPr>
        <w:t>%</w:t>
      </w:r>
      <w:r>
        <w:rPr>
          <w:rFonts w:ascii="宋体" w:eastAsia="宋体" w:hAnsi="宋体" w:cs="宋体" w:hint="eastAsia"/>
          <w:sz w:val="24"/>
        </w:rPr>
        <w:t>）、河北省（</w:t>
      </w:r>
      <w:r>
        <w:rPr>
          <w:rFonts w:ascii="宋体" w:eastAsia="宋体" w:hAnsi="宋体" w:cs="宋体" w:hint="eastAsia"/>
          <w:b/>
          <w:bCs/>
          <w:sz w:val="24"/>
        </w:rPr>
        <w:t>3.</w:t>
      </w:r>
      <w:r>
        <w:rPr>
          <w:rFonts w:ascii="宋体" w:eastAsia="宋体" w:hAnsi="宋体" w:cs="宋体"/>
          <w:b/>
          <w:bCs/>
          <w:sz w:val="24"/>
        </w:rPr>
        <w:t>390</w:t>
      </w:r>
      <w:r>
        <w:rPr>
          <w:rFonts w:ascii="宋体" w:eastAsia="宋体" w:hAnsi="宋体" w:cs="宋体" w:hint="eastAsia"/>
          <w:b/>
          <w:bCs/>
          <w:sz w:val="24"/>
        </w:rPr>
        <w:t>%</w:t>
      </w:r>
      <w:r>
        <w:rPr>
          <w:rFonts w:ascii="宋体" w:eastAsia="宋体" w:hAnsi="宋体" w:cs="宋体" w:hint="eastAsia"/>
          <w:sz w:val="24"/>
        </w:rPr>
        <w:t>）、湖北省（</w:t>
      </w:r>
      <w:r>
        <w:rPr>
          <w:rFonts w:ascii="宋体" w:eastAsia="宋体" w:hAnsi="宋体" w:cs="宋体" w:hint="eastAsia"/>
          <w:b/>
          <w:bCs/>
          <w:sz w:val="24"/>
        </w:rPr>
        <w:t>3.</w:t>
      </w:r>
      <w:r>
        <w:rPr>
          <w:rFonts w:ascii="宋体" w:eastAsia="宋体" w:hAnsi="宋体" w:cs="宋体"/>
          <w:b/>
          <w:bCs/>
          <w:sz w:val="24"/>
        </w:rPr>
        <w:t>277</w:t>
      </w:r>
      <w:r>
        <w:rPr>
          <w:rFonts w:ascii="宋体" w:eastAsia="宋体" w:hAnsi="宋体" w:cs="宋体" w:hint="eastAsia"/>
          <w:b/>
          <w:bCs/>
          <w:sz w:val="24"/>
        </w:rPr>
        <w:t>%</w:t>
      </w:r>
      <w:r>
        <w:rPr>
          <w:rFonts w:ascii="宋体" w:eastAsia="宋体" w:hAnsi="宋体" w:cs="宋体" w:hint="eastAsia"/>
          <w:sz w:val="24"/>
        </w:rPr>
        <w:t>）。</w:t>
      </w:r>
    </w:p>
    <w:p w14:paraId="71E387F8" w14:textId="77777777" w:rsidR="00B43C4D" w:rsidRDefault="00B822D6">
      <w:pPr>
        <w:spacing w:beforeLines="50" w:before="156" w:line="360" w:lineRule="auto"/>
        <w:jc w:val="center"/>
        <w:rPr>
          <w:rFonts w:ascii="宋体" w:eastAsia="宋体" w:hAnsi="宋体" w:cs="宋体"/>
          <w:sz w:val="24"/>
        </w:rPr>
      </w:pPr>
      <w:r>
        <w:rPr>
          <w:noProof/>
        </w:rPr>
        <w:lastRenderedPageBreak/>
        <w:drawing>
          <wp:inline distT="0" distB="0" distL="0" distR="0" wp14:anchorId="04B15455" wp14:editId="21FCE30C">
            <wp:extent cx="4970780" cy="359664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983353" cy="3605771"/>
                    </a:xfrm>
                    <a:prstGeom prst="rect">
                      <a:avLst/>
                    </a:prstGeom>
                  </pic:spPr>
                </pic:pic>
              </a:graphicData>
            </a:graphic>
          </wp:inline>
        </w:drawing>
      </w:r>
    </w:p>
    <w:p w14:paraId="40E43BE4" w14:textId="77777777" w:rsidR="00B43C4D" w:rsidRDefault="00B822D6">
      <w:pPr>
        <w:pStyle w:val="10"/>
        <w:rPr>
          <w:rFonts w:hint="default"/>
        </w:rPr>
      </w:pPr>
      <w:bookmarkStart w:id="9" w:name="_Toc22372"/>
      <w:bookmarkStart w:id="10" w:name="_Toc20817"/>
      <w:r>
        <w:t>（三）投诉用户性别分布</w:t>
      </w:r>
      <w:bookmarkEnd w:id="9"/>
      <w:bookmarkEnd w:id="10"/>
    </w:p>
    <w:p w14:paraId="0EDA6AFB" w14:textId="77777777" w:rsidR="00B43C4D" w:rsidRDefault="00B822D6">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w:t>
      </w:r>
      <w:r>
        <w:rPr>
          <w:rFonts w:ascii="宋体" w:eastAsia="宋体" w:hAnsi="宋体" w:cs="宋体"/>
          <w:color w:val="000000" w:themeColor="text1"/>
          <w:sz w:val="24"/>
        </w:rPr>
        <w:t>2025</w:t>
      </w:r>
      <w:r>
        <w:rPr>
          <w:rFonts w:ascii="宋体" w:eastAsia="宋体" w:hAnsi="宋体" w:cs="宋体" w:hint="eastAsia"/>
          <w:color w:val="000000" w:themeColor="text1"/>
          <w:sz w:val="24"/>
        </w:rPr>
        <w:t>年“6</w:t>
      </w:r>
      <w:r>
        <w:rPr>
          <w:rFonts w:ascii="宋体" w:eastAsia="宋体" w:hAnsi="宋体" w:cs="宋体"/>
          <w:color w:val="000000" w:themeColor="text1"/>
          <w:sz w:val="24"/>
        </w:rPr>
        <w:t>18</w:t>
      </w:r>
      <w:r>
        <w:rPr>
          <w:rFonts w:ascii="宋体" w:eastAsia="宋体" w:hAnsi="宋体" w:cs="宋体" w:hint="eastAsia"/>
          <w:color w:val="000000" w:themeColor="text1"/>
          <w:sz w:val="24"/>
        </w:rPr>
        <w:t>”期间男性用户投诉比例为</w:t>
      </w:r>
      <w:r>
        <w:rPr>
          <w:rFonts w:ascii="宋体" w:eastAsia="宋体" w:hAnsi="宋体" w:cs="宋体"/>
          <w:b/>
          <w:color w:val="000000" w:themeColor="text1"/>
          <w:sz w:val="24"/>
        </w:rPr>
        <w:t>72.09</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，女性用户投诉比例为</w:t>
      </w:r>
      <w:r>
        <w:rPr>
          <w:rFonts w:ascii="宋体" w:eastAsia="宋体" w:hAnsi="宋体" w:cs="宋体"/>
          <w:b/>
          <w:color w:val="000000" w:themeColor="text1"/>
          <w:sz w:val="24"/>
        </w:rPr>
        <w:t>27.91</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w:t>
      </w:r>
    </w:p>
    <w:p w14:paraId="6C46C7CB" w14:textId="77777777" w:rsidR="00B43C4D" w:rsidRDefault="00B822D6">
      <w:pPr>
        <w:spacing w:beforeLines="50" w:before="156" w:line="360" w:lineRule="auto"/>
        <w:jc w:val="center"/>
        <w:rPr>
          <w:rFonts w:ascii="宋体" w:eastAsia="宋体" w:hAnsi="宋体" w:cs="宋体"/>
          <w:color w:val="000000" w:themeColor="text1"/>
          <w:sz w:val="24"/>
        </w:rPr>
      </w:pPr>
      <w:r>
        <w:rPr>
          <w:noProof/>
        </w:rPr>
        <w:drawing>
          <wp:inline distT="0" distB="0" distL="0" distR="0" wp14:anchorId="7D9F169A" wp14:editId="58640EED">
            <wp:extent cx="4678343" cy="319024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4691614" cy="3199290"/>
                    </a:xfrm>
                    <a:prstGeom prst="rect">
                      <a:avLst/>
                    </a:prstGeom>
                  </pic:spPr>
                </pic:pic>
              </a:graphicData>
            </a:graphic>
          </wp:inline>
        </w:drawing>
      </w:r>
    </w:p>
    <w:p w14:paraId="726BA1D1" w14:textId="77777777" w:rsidR="00B43C4D" w:rsidRDefault="00B822D6">
      <w:pPr>
        <w:pStyle w:val="2"/>
      </w:pPr>
      <w:bookmarkStart w:id="11" w:name="_Toc2843"/>
      <w:bookmarkStart w:id="12" w:name="_Toc4758"/>
      <w:r>
        <w:rPr>
          <w:rFonts w:hint="eastAsia"/>
        </w:rPr>
        <w:lastRenderedPageBreak/>
        <w:t>（四）投诉金额区间分布</w:t>
      </w:r>
      <w:bookmarkEnd w:id="11"/>
      <w:bookmarkEnd w:id="12"/>
      <w:r>
        <w:rPr>
          <w:rFonts w:hint="eastAsia"/>
        </w:rPr>
        <w:tab/>
      </w:r>
    </w:p>
    <w:p w14:paraId="262BBE7F" w14:textId="77777777" w:rsidR="00B43C4D" w:rsidRDefault="00B822D6">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w:t>
      </w:r>
      <w:r>
        <w:rPr>
          <w:rFonts w:ascii="宋体" w:eastAsia="宋体" w:hAnsi="宋体" w:cs="宋体"/>
          <w:color w:val="000000" w:themeColor="text1"/>
          <w:sz w:val="24"/>
        </w:rPr>
        <w:t>618</w:t>
      </w:r>
      <w:r>
        <w:rPr>
          <w:rFonts w:ascii="宋体" w:eastAsia="宋体" w:hAnsi="宋体" w:cs="宋体" w:hint="eastAsia"/>
          <w:color w:val="000000" w:themeColor="text1"/>
          <w:sz w:val="24"/>
        </w:rPr>
        <w:t>期间投诉金额分布主要集中在0-5万（</w:t>
      </w:r>
      <w:r>
        <w:rPr>
          <w:rFonts w:ascii="宋体" w:eastAsia="宋体" w:hAnsi="宋体" w:cs="宋体"/>
          <w:b/>
          <w:bCs/>
          <w:color w:val="000000" w:themeColor="text1"/>
          <w:sz w:val="24"/>
        </w:rPr>
        <w:t>32.881</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）、100-500元（</w:t>
      </w:r>
      <w:r>
        <w:rPr>
          <w:rFonts w:ascii="宋体" w:eastAsia="宋体" w:hAnsi="宋体" w:cs="宋体"/>
          <w:b/>
          <w:bCs/>
          <w:color w:val="000000" w:themeColor="text1"/>
          <w:sz w:val="24"/>
        </w:rPr>
        <w:t>16.497</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）、0-100元（</w:t>
      </w:r>
      <w:r>
        <w:rPr>
          <w:rFonts w:ascii="宋体" w:eastAsia="宋体" w:hAnsi="宋体" w:cs="宋体"/>
          <w:b/>
          <w:bCs/>
          <w:color w:val="000000" w:themeColor="text1"/>
          <w:sz w:val="24"/>
        </w:rPr>
        <w:t>13.559</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）、1000元-5000元（</w:t>
      </w:r>
      <w:r>
        <w:rPr>
          <w:rFonts w:ascii="宋体" w:eastAsia="宋体" w:hAnsi="宋体" w:cs="宋体" w:hint="eastAsia"/>
          <w:b/>
          <w:bCs/>
          <w:color w:val="000000" w:themeColor="text1"/>
          <w:sz w:val="24"/>
        </w:rPr>
        <w:t>8.</w:t>
      </w:r>
      <w:r>
        <w:rPr>
          <w:rFonts w:ascii="宋体" w:eastAsia="宋体" w:hAnsi="宋体" w:cs="宋体"/>
          <w:b/>
          <w:bCs/>
          <w:color w:val="000000" w:themeColor="text1"/>
          <w:sz w:val="24"/>
        </w:rPr>
        <w:t>249</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）、500-1000元（</w:t>
      </w:r>
      <w:r>
        <w:rPr>
          <w:rFonts w:ascii="宋体" w:eastAsia="宋体" w:hAnsi="宋体" w:cs="宋体" w:hint="eastAsia"/>
          <w:b/>
          <w:bCs/>
          <w:color w:val="000000" w:themeColor="text1"/>
          <w:sz w:val="24"/>
        </w:rPr>
        <w:t>5.</w:t>
      </w:r>
      <w:r>
        <w:rPr>
          <w:rFonts w:ascii="宋体" w:eastAsia="宋体" w:hAnsi="宋体" w:cs="宋体"/>
          <w:b/>
          <w:bCs/>
          <w:color w:val="000000" w:themeColor="text1"/>
          <w:sz w:val="24"/>
        </w:rPr>
        <w:t>537</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）、10000元以上（</w:t>
      </w:r>
      <w:r>
        <w:rPr>
          <w:rFonts w:ascii="宋体" w:eastAsia="宋体" w:hAnsi="宋体" w:cs="宋体" w:hint="eastAsia"/>
          <w:b/>
          <w:bCs/>
          <w:color w:val="000000" w:themeColor="text1"/>
          <w:sz w:val="24"/>
        </w:rPr>
        <w:t>4</w:t>
      </w:r>
      <w:r>
        <w:rPr>
          <w:rFonts w:ascii="宋体" w:eastAsia="宋体" w:hAnsi="宋体" w:cs="宋体"/>
          <w:b/>
          <w:bCs/>
          <w:color w:val="000000" w:themeColor="text1"/>
          <w:sz w:val="24"/>
        </w:rPr>
        <w:t>.859</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）、5000-10000元（</w:t>
      </w:r>
      <w:r>
        <w:rPr>
          <w:rFonts w:ascii="宋体" w:eastAsia="宋体" w:hAnsi="宋体" w:cs="宋体" w:hint="eastAsia"/>
          <w:b/>
          <w:bCs/>
          <w:color w:val="000000" w:themeColor="text1"/>
          <w:sz w:val="24"/>
        </w:rPr>
        <w:t>2</w:t>
      </w:r>
      <w:r>
        <w:rPr>
          <w:rFonts w:ascii="宋体" w:eastAsia="宋体" w:hAnsi="宋体" w:cs="宋体"/>
          <w:b/>
          <w:bCs/>
          <w:color w:val="000000" w:themeColor="text1"/>
          <w:sz w:val="24"/>
        </w:rPr>
        <w:t>.938</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）、5-10万（</w:t>
      </w:r>
      <w:r>
        <w:rPr>
          <w:rFonts w:ascii="宋体" w:eastAsia="宋体" w:hAnsi="宋体" w:cs="宋体" w:hint="eastAsia"/>
          <w:b/>
          <w:bCs/>
          <w:color w:val="000000" w:themeColor="text1"/>
          <w:sz w:val="24"/>
        </w:rPr>
        <w:t>1</w:t>
      </w:r>
      <w:r>
        <w:rPr>
          <w:rFonts w:ascii="宋体" w:eastAsia="宋体" w:hAnsi="宋体" w:cs="宋体"/>
          <w:b/>
          <w:bCs/>
          <w:color w:val="000000" w:themeColor="text1"/>
          <w:sz w:val="24"/>
        </w:rPr>
        <w:t>.130</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）、20-50万（</w:t>
      </w:r>
      <w:r>
        <w:rPr>
          <w:rFonts w:ascii="宋体" w:eastAsia="宋体" w:hAnsi="宋体" w:cs="宋体"/>
          <w:b/>
          <w:bCs/>
          <w:color w:val="000000" w:themeColor="text1"/>
          <w:sz w:val="24"/>
        </w:rPr>
        <w:t>0.904</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）、50-100万（</w:t>
      </w:r>
      <w:r>
        <w:rPr>
          <w:rFonts w:ascii="宋体" w:eastAsia="宋体" w:hAnsi="宋体" w:cs="宋体" w:hint="eastAsia"/>
          <w:b/>
          <w:bCs/>
          <w:color w:val="000000" w:themeColor="text1"/>
          <w:sz w:val="24"/>
        </w:rPr>
        <w:t>0.</w:t>
      </w:r>
      <w:r>
        <w:rPr>
          <w:rFonts w:ascii="宋体" w:eastAsia="宋体" w:hAnsi="宋体" w:cs="宋体"/>
          <w:b/>
          <w:bCs/>
          <w:color w:val="000000" w:themeColor="text1"/>
          <w:sz w:val="24"/>
        </w:rPr>
        <w:t>791</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w:t>
      </w:r>
    </w:p>
    <w:p w14:paraId="7737D371" w14:textId="77777777" w:rsidR="00B43C4D" w:rsidRDefault="00B822D6">
      <w:pPr>
        <w:spacing w:beforeLines="50" w:before="156" w:line="360" w:lineRule="auto"/>
        <w:rPr>
          <w:color w:val="000000" w:themeColor="text1"/>
          <w:sz w:val="24"/>
        </w:rPr>
      </w:pPr>
      <w:r>
        <w:rPr>
          <w:noProof/>
          <w:color w:val="000000" w:themeColor="text1"/>
          <w:sz w:val="24"/>
        </w:rPr>
        <w:drawing>
          <wp:inline distT="0" distB="0" distL="0" distR="0" wp14:anchorId="5029BAB0" wp14:editId="6BEBD37E">
            <wp:extent cx="5274310" cy="35801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4310" cy="3580130"/>
                    </a:xfrm>
                    <a:prstGeom prst="rect">
                      <a:avLst/>
                    </a:prstGeom>
                  </pic:spPr>
                </pic:pic>
              </a:graphicData>
            </a:graphic>
          </wp:inline>
        </w:drawing>
      </w:r>
    </w:p>
    <w:p w14:paraId="33B796EE" w14:textId="77777777" w:rsidR="00B43C4D" w:rsidRDefault="00B822D6">
      <w:pPr>
        <w:pStyle w:val="1"/>
        <w:numPr>
          <w:ilvl w:val="0"/>
          <w:numId w:val="1"/>
        </w:numPr>
        <w:rPr>
          <w:rFonts w:ascii="Cambria" w:hAnsi="Cambria"/>
          <w:bCs/>
          <w:kern w:val="2"/>
          <w:sz w:val="28"/>
          <w:szCs w:val="32"/>
        </w:rPr>
      </w:pPr>
      <w:bookmarkStart w:id="13" w:name="_Toc1329"/>
      <w:r>
        <w:rPr>
          <w:rFonts w:ascii="Cambria" w:hAnsi="Cambria" w:hint="eastAsia"/>
          <w:bCs/>
          <w:kern w:val="2"/>
          <w:sz w:val="28"/>
          <w:szCs w:val="32"/>
        </w:rPr>
        <w:t>评级数据与典型案例</w:t>
      </w:r>
      <w:bookmarkEnd w:id="13"/>
    </w:p>
    <w:p w14:paraId="2525EC20" w14:textId="4F86E53C" w:rsidR="00B43C4D" w:rsidRDefault="00B822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在报告公布的《2025年</w:t>
      </w:r>
      <w:r>
        <w:rPr>
          <w:rFonts w:ascii="宋体" w:hAnsi="宋体" w:cs="宋体" w:hint="eastAsia"/>
          <w:sz w:val="24"/>
        </w:rPr>
        <w:t>“6</w:t>
      </w:r>
      <w:r>
        <w:rPr>
          <w:rFonts w:ascii="宋体" w:hAnsi="宋体" w:cs="宋体"/>
          <w:sz w:val="24"/>
        </w:rPr>
        <w:t>18</w:t>
      </w:r>
      <w:r>
        <w:rPr>
          <w:rFonts w:ascii="宋体" w:hAnsi="宋体" w:cs="宋体" w:hint="eastAsia"/>
          <w:sz w:val="24"/>
        </w:rPr>
        <w:t>”期间</w:t>
      </w:r>
      <w:r>
        <w:rPr>
          <w:rFonts w:ascii="宋体" w:eastAsia="宋体" w:hAnsi="宋体" w:cs="宋体" w:hint="eastAsia"/>
          <w:sz w:val="24"/>
        </w:rPr>
        <w:t>全国全部消费评级榜》中：获</w:t>
      </w:r>
      <w:r>
        <w:rPr>
          <w:rFonts w:ascii="宋体" w:eastAsia="宋体" w:hAnsi="宋体" w:cs="宋体" w:hint="eastAsia"/>
          <w:b/>
          <w:bCs/>
          <w:sz w:val="24"/>
        </w:rPr>
        <w:t>“建议下单”</w:t>
      </w:r>
      <w:r>
        <w:rPr>
          <w:rFonts w:ascii="宋体" w:eastAsia="宋体" w:hAnsi="宋体" w:cs="宋体" w:hint="eastAsia"/>
          <w:sz w:val="24"/>
        </w:rPr>
        <w:t>的有：转转、唯品会、去哪儿等</w:t>
      </w:r>
      <w:r>
        <w:rPr>
          <w:rFonts w:ascii="宋体" w:eastAsia="宋体" w:hAnsi="宋体" w:cs="宋体"/>
          <w:sz w:val="24"/>
        </w:rPr>
        <w:t>5</w:t>
      </w:r>
      <w:r>
        <w:rPr>
          <w:rFonts w:ascii="宋体" w:eastAsia="宋体" w:hAnsi="宋体" w:cs="宋体" w:hint="eastAsia"/>
          <w:sz w:val="24"/>
        </w:rPr>
        <w:t>家</w:t>
      </w:r>
      <w:r>
        <w:rPr>
          <w:rFonts w:ascii="宋体" w:eastAsia="宋体" w:hAnsi="宋体" w:cs="宋体" w:hint="eastAsia"/>
          <w:bCs/>
          <w:sz w:val="24"/>
        </w:rPr>
        <w:t>；</w:t>
      </w:r>
      <w:r>
        <w:rPr>
          <w:rFonts w:ascii="宋体" w:eastAsia="宋体" w:hAnsi="宋体" w:cs="宋体" w:hint="eastAsia"/>
          <w:sz w:val="24"/>
        </w:rPr>
        <w:t>获</w:t>
      </w:r>
      <w:r>
        <w:rPr>
          <w:rFonts w:ascii="宋体" w:eastAsia="宋体" w:hAnsi="宋体" w:cs="宋体" w:hint="eastAsia"/>
          <w:b/>
          <w:bCs/>
          <w:sz w:val="24"/>
        </w:rPr>
        <w:t>“谨慎下单”</w:t>
      </w:r>
      <w:r>
        <w:rPr>
          <w:rFonts w:ascii="宋体" w:eastAsia="宋体" w:hAnsi="宋体" w:cs="宋体" w:hint="eastAsia"/>
          <w:sz w:val="24"/>
        </w:rPr>
        <w:t>评级的有：万师傅、抖音电商、B</w:t>
      </w:r>
      <w:r>
        <w:rPr>
          <w:rFonts w:ascii="宋体" w:eastAsia="宋体" w:hAnsi="宋体" w:cs="宋体"/>
          <w:sz w:val="24"/>
        </w:rPr>
        <w:t>OSS</w:t>
      </w:r>
      <w:r>
        <w:rPr>
          <w:rFonts w:ascii="宋体" w:eastAsia="宋体" w:hAnsi="宋体" w:cs="宋体" w:hint="eastAsia"/>
          <w:sz w:val="24"/>
        </w:rPr>
        <w:t>直聘等</w:t>
      </w:r>
      <w:r>
        <w:rPr>
          <w:rFonts w:ascii="宋体" w:eastAsia="宋体" w:hAnsi="宋体" w:cs="宋体"/>
          <w:sz w:val="24"/>
        </w:rPr>
        <w:t>4</w:t>
      </w:r>
      <w:r>
        <w:rPr>
          <w:rFonts w:ascii="宋体" w:eastAsia="宋体" w:hAnsi="宋体" w:cs="宋体" w:hint="eastAsia"/>
          <w:sz w:val="24"/>
        </w:rPr>
        <w:t>家；获</w:t>
      </w:r>
      <w:r>
        <w:rPr>
          <w:rFonts w:ascii="宋体" w:eastAsia="宋体" w:hAnsi="宋体" w:cs="宋体" w:hint="eastAsia"/>
          <w:b/>
          <w:sz w:val="24"/>
        </w:rPr>
        <w:t>“不建议下单”</w:t>
      </w:r>
      <w:r>
        <w:rPr>
          <w:rFonts w:ascii="宋体" w:eastAsia="宋体" w:hAnsi="宋体" w:cs="宋体" w:hint="eastAsia"/>
          <w:sz w:val="24"/>
        </w:rPr>
        <w:t>的有：小红书等2家；获</w:t>
      </w:r>
      <w:r>
        <w:rPr>
          <w:rFonts w:ascii="宋体" w:eastAsia="宋体" w:hAnsi="宋体" w:cs="宋体" w:hint="eastAsia"/>
          <w:b/>
          <w:sz w:val="24"/>
        </w:rPr>
        <w:t>“不予评级”</w:t>
      </w:r>
      <w:r>
        <w:rPr>
          <w:rFonts w:ascii="宋体" w:eastAsia="宋体" w:hAnsi="宋体" w:cs="宋体" w:hint="eastAsia"/>
          <w:sz w:val="24"/>
        </w:rPr>
        <w:t>的有：饿了么、淘宝、天猫、闲鱼、快手、阿里巴巴、微信、微店等8家。</w:t>
      </w:r>
    </w:p>
    <w:p w14:paraId="3AE03BED" w14:textId="77777777" w:rsidR="00B43C4D" w:rsidRDefault="00B822D6">
      <w:pPr>
        <w:jc w:val="center"/>
      </w:pPr>
      <w:r>
        <w:rPr>
          <w:rFonts w:hint="eastAsia"/>
          <w:noProof/>
        </w:rPr>
        <w:lastRenderedPageBreak/>
        <w:drawing>
          <wp:inline distT="0" distB="0" distL="114300" distR="114300" wp14:anchorId="511D75A5" wp14:editId="723711EE">
            <wp:extent cx="5270500" cy="6372225"/>
            <wp:effectExtent l="0" t="0" r="0" b="3175"/>
            <wp:docPr id="10" name="图片 10" descr="87e680650b93d222e807d9cd4a05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e680650b93d222e807d9cd4a05d66"/>
                    <pic:cNvPicPr>
                      <a:picLocks noChangeAspect="1"/>
                    </pic:cNvPicPr>
                  </pic:nvPicPr>
                  <pic:blipFill>
                    <a:blip r:embed="rId23"/>
                    <a:stretch>
                      <a:fillRect/>
                    </a:stretch>
                  </pic:blipFill>
                  <pic:spPr>
                    <a:xfrm>
                      <a:off x="0" y="0"/>
                      <a:ext cx="5270500" cy="6372225"/>
                    </a:xfrm>
                    <a:prstGeom prst="rect">
                      <a:avLst/>
                    </a:prstGeom>
                  </pic:spPr>
                </pic:pic>
              </a:graphicData>
            </a:graphic>
          </wp:inline>
        </w:drawing>
      </w:r>
    </w:p>
    <w:p w14:paraId="4767C4B2" w14:textId="77777777" w:rsidR="00B43C4D" w:rsidRDefault="00B822D6">
      <w:pPr>
        <w:pStyle w:val="10"/>
        <w:rPr>
          <w:rFonts w:hint="default"/>
        </w:rPr>
      </w:pPr>
      <w:bookmarkStart w:id="14" w:name="_Toc18998"/>
      <w:r>
        <w:t>（一）数字零售数据与十大典型案例</w:t>
      </w:r>
      <w:bookmarkEnd w:id="14"/>
    </w:p>
    <w:p w14:paraId="72F1B315" w14:textId="77777777" w:rsidR="00B43C4D" w:rsidRDefault="00B822D6">
      <w:pPr>
        <w:pStyle w:val="20"/>
        <w:spacing w:before="156"/>
        <w:ind w:firstLine="562"/>
        <w:rPr>
          <w:rFonts w:hint="default"/>
          <w:b/>
          <w:bCs/>
          <w:sz w:val="28"/>
          <w:szCs w:val="28"/>
        </w:rPr>
      </w:pPr>
      <w:r>
        <w:rPr>
          <w:b/>
          <w:bCs/>
          <w:sz w:val="28"/>
          <w:szCs w:val="28"/>
        </w:rPr>
        <w:t>数字零售消费评级榜：</w:t>
      </w:r>
    </w:p>
    <w:p w14:paraId="3D702557" w14:textId="77777777" w:rsidR="00B43C4D" w:rsidRDefault="00B822D6">
      <w:pPr>
        <w:pStyle w:val="20"/>
        <w:spacing w:before="156"/>
        <w:rPr>
          <w:rFonts w:hint="default"/>
        </w:rPr>
      </w:pPr>
      <w:r>
        <w:t>在2025年“6</w:t>
      </w:r>
      <w:r>
        <w:rPr>
          <w:rFonts w:hint="default"/>
        </w:rPr>
        <w:t>18</w:t>
      </w:r>
      <w:r>
        <w:t>”期间全国数字零售评级榜中：获</w:t>
      </w:r>
      <w:r>
        <w:rPr>
          <w:b/>
          <w:bCs/>
        </w:rPr>
        <w:t>“建议下单”</w:t>
      </w:r>
      <w:r>
        <w:t>的有：转转、唯品会、京东等3家；获</w:t>
      </w:r>
      <w:r>
        <w:rPr>
          <w:b/>
          <w:bCs/>
        </w:rPr>
        <w:t>“谨慎下单”</w:t>
      </w:r>
      <w:r>
        <w:t>评级的有：抖音电商1家；获“</w:t>
      </w:r>
      <w:r>
        <w:rPr>
          <w:b/>
          <w:bCs/>
        </w:rPr>
        <w:t>不建议下单</w:t>
      </w:r>
      <w:r>
        <w:t>”的有：小红书等2家；获</w:t>
      </w:r>
      <w:r>
        <w:rPr>
          <w:b/>
          <w:bCs/>
        </w:rPr>
        <w:t>“不予评级”</w:t>
      </w:r>
      <w:r>
        <w:t>的有：淘宝、天猫、闲鱼、快手、阿</w:t>
      </w:r>
      <w:r>
        <w:lastRenderedPageBreak/>
        <w:t>里巴巴、微店等</w:t>
      </w:r>
      <w:r>
        <w:rPr>
          <w:rFonts w:hint="default"/>
        </w:rPr>
        <w:t>6</w:t>
      </w:r>
      <w:r>
        <w:t>家。</w:t>
      </w:r>
    </w:p>
    <w:p w14:paraId="12554610" w14:textId="77777777" w:rsidR="00B43C4D" w:rsidRDefault="00B43C4D"/>
    <w:p w14:paraId="6C6D83EA" w14:textId="77777777" w:rsidR="00B43C4D" w:rsidRDefault="00B822D6">
      <w:pPr>
        <w:jc w:val="center"/>
      </w:pPr>
      <w:r>
        <w:rPr>
          <w:rFonts w:hint="eastAsia"/>
          <w:noProof/>
        </w:rPr>
        <w:drawing>
          <wp:inline distT="0" distB="0" distL="114300" distR="114300" wp14:anchorId="45B7D33E" wp14:editId="382FCE10">
            <wp:extent cx="5114925" cy="4705350"/>
            <wp:effectExtent l="0" t="0" r="3175" b="6350"/>
            <wp:docPr id="3" name="图片 3" descr="e60619a4c96c1eabe550de00a93f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60619a4c96c1eabe550de00a93fb96"/>
                    <pic:cNvPicPr>
                      <a:picLocks noChangeAspect="1"/>
                    </pic:cNvPicPr>
                  </pic:nvPicPr>
                  <pic:blipFill>
                    <a:blip r:embed="rId24"/>
                    <a:stretch>
                      <a:fillRect/>
                    </a:stretch>
                  </pic:blipFill>
                  <pic:spPr>
                    <a:xfrm>
                      <a:off x="0" y="0"/>
                      <a:ext cx="5114925" cy="4705350"/>
                    </a:xfrm>
                    <a:prstGeom prst="rect">
                      <a:avLst/>
                    </a:prstGeom>
                  </pic:spPr>
                </pic:pic>
              </a:graphicData>
            </a:graphic>
          </wp:inline>
        </w:drawing>
      </w:r>
    </w:p>
    <w:p w14:paraId="406A9960" w14:textId="77777777" w:rsidR="00B43C4D" w:rsidRDefault="00B822D6">
      <w:pPr>
        <w:spacing w:beforeLines="50" w:before="156" w:line="360" w:lineRule="auto"/>
        <w:ind w:firstLineChars="200" w:firstLine="562"/>
        <w:rPr>
          <w:rFonts w:asciiTheme="majorEastAsia" w:eastAsiaTheme="majorEastAsia" w:hAnsiTheme="majorEastAsia" w:cstheme="majorEastAsia"/>
          <w:bCs/>
          <w:color w:val="000000" w:themeColor="text1"/>
          <w:sz w:val="24"/>
        </w:rPr>
      </w:pPr>
      <w:r>
        <w:rPr>
          <w:rFonts w:asciiTheme="majorEastAsia" w:eastAsiaTheme="majorEastAsia" w:hAnsiTheme="majorEastAsia" w:cstheme="majorEastAsia" w:hint="eastAsia"/>
          <w:b/>
          <w:sz w:val="28"/>
          <w:szCs w:val="28"/>
        </w:rPr>
        <w:t>数字零售上榜平台有3</w:t>
      </w:r>
      <w:r>
        <w:rPr>
          <w:rFonts w:asciiTheme="majorEastAsia" w:eastAsiaTheme="majorEastAsia" w:hAnsiTheme="majorEastAsia" w:cstheme="majorEastAsia"/>
          <w:b/>
          <w:sz w:val="28"/>
          <w:szCs w:val="28"/>
        </w:rPr>
        <w:t>9</w:t>
      </w:r>
      <w:r>
        <w:rPr>
          <w:rFonts w:asciiTheme="majorEastAsia" w:eastAsiaTheme="majorEastAsia" w:hAnsiTheme="majorEastAsia" w:cstheme="majorEastAsia" w:hint="eastAsia"/>
          <w:b/>
          <w:sz w:val="28"/>
          <w:szCs w:val="28"/>
        </w:rPr>
        <w:t>家：</w:t>
      </w:r>
    </w:p>
    <w:p w14:paraId="548ACAF8" w14:textId="77777777" w:rsidR="00B43C4D" w:rsidRDefault="00B822D6">
      <w:pPr>
        <w:pStyle w:val="20"/>
        <w:spacing w:before="156"/>
        <w:rPr>
          <w:rFonts w:hint="default"/>
        </w:rPr>
      </w:pPr>
      <w:r>
        <w:t>投诉量</w:t>
      </w:r>
      <w:r>
        <w:rPr>
          <w:b/>
          <w:bCs/>
        </w:rPr>
        <w:t>TOP10</w:t>
      </w:r>
      <w:r>
        <w:t>依次为：拼多多、抖音电商、淘宝、京东、快手、微店、闲鱼、小红书、天猫、转转；</w:t>
      </w:r>
    </w:p>
    <w:p w14:paraId="6B9976CA" w14:textId="77777777" w:rsidR="00B43C4D" w:rsidRDefault="00B822D6">
      <w:pPr>
        <w:pStyle w:val="20"/>
        <w:spacing w:before="156"/>
        <w:rPr>
          <w:rFonts w:hint="default"/>
        </w:rPr>
      </w:pPr>
      <w:r>
        <w:t>排在</w:t>
      </w:r>
      <w:r>
        <w:rPr>
          <w:b/>
          <w:bCs/>
        </w:rPr>
        <w:t>第11-20名</w:t>
      </w:r>
      <w:r>
        <w:t>的是：唯品会、阿里巴巴、哔哩购、爱回收、微信视频号、万表网、快团团、有赞、孔夫子旧书网、美团优选；</w:t>
      </w:r>
    </w:p>
    <w:p w14:paraId="796F1665" w14:textId="77777777" w:rsidR="00B43C4D" w:rsidRDefault="00B822D6">
      <w:pPr>
        <w:pStyle w:val="20"/>
        <w:spacing w:before="156"/>
        <w:rPr>
          <w:rFonts w:hint="default"/>
        </w:rPr>
      </w:pPr>
      <w:r>
        <w:t>排在</w:t>
      </w:r>
      <w:r>
        <w:rPr>
          <w:b/>
          <w:bCs/>
        </w:rPr>
        <w:t>第21-30名</w:t>
      </w:r>
      <w:r>
        <w:t>的是：千岛、途虎养车、随行付、9</w:t>
      </w:r>
      <w:r>
        <w:rPr>
          <w:rFonts w:hint="default"/>
        </w:rPr>
        <w:t>5</w:t>
      </w:r>
      <w:r>
        <w:t>分、交易猫、瓜子二手车、丝芙兰、人人租、多多买菜、微拍堂；</w:t>
      </w:r>
    </w:p>
    <w:p w14:paraId="35BB1A00" w14:textId="77777777" w:rsidR="00B43C4D" w:rsidRDefault="00B822D6">
      <w:pPr>
        <w:pStyle w:val="20"/>
        <w:spacing w:before="156"/>
        <w:rPr>
          <w:rFonts w:hint="default"/>
        </w:rPr>
      </w:pPr>
      <w:r>
        <w:t>排在</w:t>
      </w:r>
      <w:r>
        <w:rPr>
          <w:b/>
          <w:bCs/>
        </w:rPr>
        <w:t>第31-3</w:t>
      </w:r>
      <w:r>
        <w:rPr>
          <w:rFonts w:hint="default"/>
          <w:b/>
          <w:bCs/>
        </w:rPr>
        <w:t>9</w:t>
      </w:r>
      <w:r>
        <w:rPr>
          <w:b/>
          <w:bCs/>
        </w:rPr>
        <w:t>名</w:t>
      </w:r>
      <w:r>
        <w:t>的是：美的、一直娱、小鹅通、网易、盒马、蘑菇街、欢太商城、天天拍车、爱库存。</w:t>
      </w:r>
    </w:p>
    <w:p w14:paraId="65E14ED6" w14:textId="5792A95D" w:rsidR="00B43C4D" w:rsidRDefault="00352D0D">
      <w:pPr>
        <w:jc w:val="center"/>
      </w:pPr>
      <w:r w:rsidRPr="00352D0D">
        <w:rPr>
          <w:noProof/>
        </w:rPr>
        <w:lastRenderedPageBreak/>
        <w:drawing>
          <wp:inline distT="0" distB="0" distL="0" distR="0" wp14:anchorId="307832E5" wp14:editId="2B04B35B">
            <wp:extent cx="5274310" cy="54590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459095"/>
                    </a:xfrm>
                    <a:prstGeom prst="rect">
                      <a:avLst/>
                    </a:prstGeom>
                  </pic:spPr>
                </pic:pic>
              </a:graphicData>
            </a:graphic>
          </wp:inline>
        </w:drawing>
      </w:r>
    </w:p>
    <w:p w14:paraId="0F9A439C" w14:textId="77777777" w:rsidR="00B43C4D" w:rsidRDefault="00B822D6">
      <w:pPr>
        <w:pStyle w:val="20"/>
        <w:spacing w:before="156"/>
        <w:rPr>
          <w:rFonts w:hint="default"/>
        </w:rPr>
      </w:pPr>
      <w:r>
        <w:t>在数字零售消费领域，据“电诉宝”受理用户维权案例，我们从中选取十大典型投诉案例，涉及</w:t>
      </w:r>
      <w:r>
        <w:rPr>
          <w:b/>
          <w:bCs/>
        </w:rPr>
        <w:t>抖音电商、快手、千岛、淘宝、人人租、转转、微信视频号、闲鱼、9</w:t>
      </w:r>
      <w:r>
        <w:rPr>
          <w:rFonts w:hint="default"/>
          <w:b/>
          <w:bCs/>
        </w:rPr>
        <w:t>5</w:t>
      </w:r>
      <w:r>
        <w:rPr>
          <w:b/>
          <w:bCs/>
        </w:rPr>
        <w:t>分、孔夫子旧书网</w:t>
      </w:r>
      <w:r>
        <w:t>。</w:t>
      </w:r>
    </w:p>
    <w:p w14:paraId="2C205F4F" w14:textId="77777777" w:rsidR="00B43C4D" w:rsidRDefault="00B822D6">
      <w:pPr>
        <w:pStyle w:val="20"/>
        <w:spacing w:before="156"/>
        <w:ind w:firstLineChars="0" w:firstLine="0"/>
        <w:jc w:val="center"/>
        <w:rPr>
          <w:rFonts w:hint="default"/>
        </w:rPr>
      </w:pPr>
      <w:r>
        <w:rPr>
          <w:noProof/>
        </w:rPr>
        <w:lastRenderedPageBreak/>
        <w:drawing>
          <wp:inline distT="0" distB="0" distL="114300" distR="114300" wp14:anchorId="365F23B8" wp14:editId="7AEA09E7">
            <wp:extent cx="5273675" cy="4048760"/>
            <wp:effectExtent l="0" t="0" r="9525"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5273675" cy="4048760"/>
                    </a:xfrm>
                    <a:prstGeom prst="rect">
                      <a:avLst/>
                    </a:prstGeom>
                    <a:noFill/>
                    <a:ln>
                      <a:noFill/>
                    </a:ln>
                  </pic:spPr>
                </pic:pic>
              </a:graphicData>
            </a:graphic>
          </wp:inline>
        </w:drawing>
      </w:r>
    </w:p>
    <w:p w14:paraId="70F536E8" w14:textId="77777777" w:rsidR="00B43C4D" w:rsidRDefault="00B822D6">
      <w:pPr>
        <w:pStyle w:val="a8"/>
        <w:ind w:firstLine="480"/>
        <w:rPr>
          <w:rFonts w:ascii="Segoe UI" w:hAnsi="Segoe UI" w:cs="Segoe UI"/>
          <w:b/>
          <w:bCs/>
          <w:color w:val="404040"/>
          <w:kern w:val="2"/>
          <w:sz w:val="21"/>
          <w:shd w:val="clear" w:color="auto" w:fill="FFFFFF"/>
        </w:rPr>
      </w:pPr>
      <w:r>
        <w:rPr>
          <w:rStyle w:val="aa"/>
        </w:rPr>
        <w:t>【案例一】用户投诉</w:t>
      </w:r>
      <w:r>
        <w:rPr>
          <w:rStyle w:val="aa"/>
          <w:rFonts w:hint="eastAsia"/>
        </w:rPr>
        <w:t>抖音电商违规“仅退款”操作</w:t>
      </w:r>
    </w:p>
    <w:p w14:paraId="0A4860FD" w14:textId="77777777" w:rsidR="00B43C4D" w:rsidRDefault="00B822D6">
      <w:pPr>
        <w:pStyle w:val="a8"/>
        <w:spacing w:beforeAutospacing="0" w:afterAutospacing="0" w:line="360" w:lineRule="auto"/>
        <w:ind w:firstLine="482"/>
        <w:rPr>
          <w:rFonts w:ascii="宋体" w:hAnsi="宋体" w:cs="宋体"/>
          <w:color w:val="000000" w:themeColor="text1"/>
        </w:rPr>
      </w:pPr>
      <w:r>
        <w:t>6</w:t>
      </w:r>
      <w:r>
        <w:rPr>
          <w:rFonts w:hint="eastAsia"/>
        </w:rPr>
        <w:t>月</w:t>
      </w:r>
      <w:r>
        <w:t>20</w:t>
      </w:r>
      <w:r>
        <w:rPr>
          <w:rFonts w:hint="eastAsia"/>
        </w:rPr>
        <w:t>日</w:t>
      </w:r>
      <w:r>
        <w:t>，福建省的谢女士向</w:t>
      </w:r>
      <w:r>
        <w:t>“</w:t>
      </w:r>
      <w:r>
        <w:t>电诉宝</w:t>
      </w:r>
      <w:r>
        <w:t>”</w:t>
      </w:r>
      <w:r>
        <w:t>投诉称其</w:t>
      </w:r>
      <w:r>
        <w:rPr>
          <w:rFonts w:ascii="宋体" w:hAnsi="宋体" w:cs="宋体"/>
          <w:color w:val="000000" w:themeColor="text1"/>
        </w:rPr>
        <w:t>在</w:t>
      </w:r>
      <w:r>
        <w:t>抖音商城</w:t>
      </w:r>
      <w:r>
        <w:rPr>
          <w:rFonts w:ascii="宋体" w:hAnsi="宋体" w:cs="宋体"/>
          <w:color w:val="000000" w:themeColor="text1"/>
        </w:rPr>
        <w:t>某商家店铺购买了一件明确标注为"瑕疵品"的商品。该商品在选项、标题、详情页及直播中均显著说明"销售瑕疵品"属性。</w:t>
      </w:r>
    </w:p>
    <w:p w14:paraId="15BD8362" w14:textId="77777777" w:rsidR="00B43C4D" w:rsidRDefault="00B822D6">
      <w:pPr>
        <w:pStyle w:val="a8"/>
        <w:spacing w:beforeAutospacing="0" w:afterAutospacing="0" w:line="360" w:lineRule="auto"/>
        <w:ind w:firstLine="482"/>
      </w:pPr>
      <w:r>
        <w:rPr>
          <w:rFonts w:ascii="宋体" w:hAnsi="宋体" w:cs="宋体"/>
          <w:color w:val="000000" w:themeColor="text1"/>
        </w:rPr>
        <w:t>消费者收货后申请退货退款，商家同意该诉求，但平台未经商家协商环节直接执行"仅退款"操作。</w:t>
      </w:r>
      <w:r>
        <w:t>商家申诉后未获支持，用户现依据国家反</w:t>
      </w:r>
      <w:r>
        <w:t>"</w:t>
      </w:r>
      <w:r>
        <w:t>仅退款</w:t>
      </w:r>
      <w:r>
        <w:t>"</w:t>
      </w:r>
      <w:r>
        <w:t>政策，要求平台补偿货款</w:t>
      </w:r>
      <w:r>
        <w:t>7</w:t>
      </w:r>
      <w:r>
        <w:t>元。</w:t>
      </w:r>
    </w:p>
    <w:p w14:paraId="2266064B" w14:textId="77777777" w:rsidR="00B43C4D" w:rsidRDefault="00B822D6">
      <w:pPr>
        <w:pStyle w:val="20"/>
        <w:spacing w:before="156"/>
        <w:ind w:firstLine="482"/>
        <w:rPr>
          <w:rFonts w:hint="default"/>
          <w:b/>
          <w:bCs/>
        </w:rPr>
      </w:pPr>
      <w:r>
        <w:rPr>
          <w:b/>
          <w:bCs/>
        </w:rPr>
        <w:t>【案例二】</w:t>
      </w:r>
      <w:r>
        <w:rPr>
          <w:rStyle w:val="aa"/>
          <w:rFonts w:asciiTheme="minorHAnsi" w:eastAsiaTheme="minorEastAsia" w:hAnsiTheme="minorHAnsi" w:cs="Times New Roman"/>
          <w:color w:val="auto"/>
          <w:kern w:val="0"/>
        </w:rPr>
        <w:t>快手平台不合理退款：举证后被驳回</w:t>
      </w:r>
      <w:r>
        <w:rPr>
          <w:rStyle w:val="aa"/>
          <w:rFonts w:asciiTheme="minorHAnsi" w:eastAsiaTheme="minorEastAsia" w:hAnsiTheme="minorHAnsi" w:cs="Times New Roman"/>
          <w:color w:val="auto"/>
          <w:kern w:val="0"/>
        </w:rPr>
        <w:t xml:space="preserve"> </w:t>
      </w:r>
      <w:r>
        <w:rPr>
          <w:rStyle w:val="aa"/>
          <w:rFonts w:asciiTheme="minorHAnsi" w:eastAsiaTheme="minorEastAsia" w:hAnsiTheme="minorHAnsi" w:cs="Times New Roman"/>
          <w:color w:val="auto"/>
          <w:kern w:val="0"/>
        </w:rPr>
        <w:t>二次申诉遭苛刻要</w:t>
      </w:r>
      <w:r>
        <w:rPr>
          <w:b/>
          <w:bCs/>
        </w:rPr>
        <w:t>求</w:t>
      </w:r>
    </w:p>
    <w:p w14:paraId="3F0C2DDC" w14:textId="77777777" w:rsidR="00B43C4D" w:rsidRDefault="00B822D6">
      <w:pPr>
        <w:pStyle w:val="20"/>
        <w:spacing w:before="156"/>
        <w:rPr>
          <w:rFonts w:hint="default"/>
        </w:rPr>
      </w:pPr>
      <w:r>
        <w:t>6月</w:t>
      </w:r>
      <w:r>
        <w:rPr>
          <w:rFonts w:hint="default"/>
        </w:rPr>
        <w:t>18</w:t>
      </w:r>
      <w:r>
        <w:t>日，浙江省的张先生向“电诉宝”投诉称其在快手平台上遭遇不合理仅退款情况。顾客退回的商品已被穿着过，严重影响二次销售。商家提供了完整的证据后，平台驳回了顾客的退款申请。</w:t>
      </w:r>
    </w:p>
    <w:p w14:paraId="514816C1" w14:textId="77777777" w:rsidR="00B43C4D" w:rsidRDefault="00B822D6">
      <w:pPr>
        <w:pStyle w:val="20"/>
        <w:spacing w:before="156"/>
        <w:rPr>
          <w:rFonts w:hint="default"/>
        </w:rPr>
      </w:pPr>
      <w:r>
        <w:t>然而，平台后续又引导顾客再次发起退货退款，并对商家提出苛刻的举证要求，因商家未能在规定时间内提供上述材料，平台最终判定支持消费者退款。客</w:t>
      </w:r>
      <w:r>
        <w:lastRenderedPageBreak/>
        <w:t>服后续也以第三人称回应，维持仅退款决定。</w:t>
      </w:r>
    </w:p>
    <w:p w14:paraId="559DCF0A" w14:textId="77777777" w:rsidR="00B43C4D" w:rsidRDefault="00B822D6">
      <w:pPr>
        <w:pStyle w:val="20"/>
        <w:spacing w:before="156"/>
        <w:ind w:firstLine="482"/>
        <w:rPr>
          <w:rFonts w:hint="default"/>
          <w:b/>
          <w:bCs/>
        </w:rPr>
      </w:pPr>
      <w:r>
        <w:rPr>
          <w:b/>
          <w:bCs/>
        </w:rPr>
        <w:t>【案例三】</w:t>
      </w:r>
      <w:r>
        <w:rPr>
          <w:rFonts w:hint="default"/>
          <w:b/>
          <w:bCs/>
        </w:rPr>
        <w:t>千岛电商平台售假，用户维权遇阻</w:t>
      </w:r>
    </w:p>
    <w:p w14:paraId="221CA62D" w14:textId="77777777" w:rsidR="00B43C4D" w:rsidRDefault="00B822D6">
      <w:pPr>
        <w:pStyle w:val="20"/>
        <w:spacing w:before="156"/>
        <w:rPr>
          <w:rFonts w:hint="default"/>
        </w:rPr>
      </w:pPr>
      <w:r>
        <w:t>6月7日湖南省的马先生向“电诉宝”投诉称其在千岛电商平台"潮玩泡泡铺"购买了一款"大天使"玩偶，收货后发现商品为假货，平台涉嫌侵害消费者权益。</w:t>
      </w:r>
    </w:p>
    <w:p w14:paraId="401FC345" w14:textId="77777777" w:rsidR="00B43C4D" w:rsidRDefault="00B822D6">
      <w:pPr>
        <w:pStyle w:val="20"/>
        <w:spacing w:before="156"/>
        <w:rPr>
          <w:rFonts w:hint="default"/>
        </w:rPr>
      </w:pPr>
      <w:r>
        <w:t>消费者表示，该玩偶与正品在材质、做工等方面存在明显差异，但平台尚未给出满意解决方案。目前，消费者已提交相关证据，要求平台按照《消费者权益保护法》进行退一赔三处理，并下架涉假商品。</w:t>
      </w:r>
    </w:p>
    <w:p w14:paraId="1D930D61" w14:textId="77777777" w:rsidR="00B43C4D" w:rsidRDefault="00B822D6">
      <w:pPr>
        <w:pStyle w:val="20"/>
        <w:spacing w:before="156"/>
        <w:ind w:firstLine="482"/>
        <w:rPr>
          <w:rFonts w:hint="default"/>
          <w:b/>
          <w:bCs/>
        </w:rPr>
      </w:pPr>
      <w:r>
        <w:rPr>
          <w:b/>
          <w:bCs/>
        </w:rPr>
        <w:t>【案例四】淘宝以“保证金不足”搪塞消费者，退款遥遥无期？</w:t>
      </w:r>
    </w:p>
    <w:p w14:paraId="2D74F784" w14:textId="77777777" w:rsidR="00B43C4D" w:rsidRDefault="00B822D6">
      <w:pPr>
        <w:pStyle w:val="20"/>
        <w:spacing w:before="156"/>
        <w:rPr>
          <w:rFonts w:hint="default"/>
        </w:rPr>
      </w:pPr>
      <w:r>
        <w:rPr>
          <w:rFonts w:hint="default"/>
        </w:rPr>
        <w:t>6</w:t>
      </w:r>
      <w:r>
        <w:t>月</w:t>
      </w:r>
      <w:r>
        <w:rPr>
          <w:rFonts w:hint="default"/>
        </w:rPr>
        <w:t>5</w:t>
      </w:r>
      <w:r>
        <w:t>日，四川省李女士向“电诉宝”投诉称其在淘宝平台某商家处购买商品，后因商品问题申请退货退款。然而，提交申请后商家迟迟未处理，消费者多次尝试联系商家无果，怀疑其已闭店跑路。</w:t>
      </w:r>
    </w:p>
    <w:p w14:paraId="7B483C0C" w14:textId="77777777" w:rsidR="00B43C4D" w:rsidRDefault="00B822D6">
      <w:pPr>
        <w:pStyle w:val="20"/>
        <w:spacing w:before="156"/>
        <w:rPr>
          <w:rFonts w:hint="default"/>
        </w:rPr>
      </w:pPr>
      <w:r>
        <w:t>随后，消费者向淘宝平台投诉，平台回复称“商家保证金不足，需等待催缴成功才能退款”，但未提供具体退款时间。消费者多次联系平台客服，均得到相同话术推诿，导致维权陷入僵局。</w:t>
      </w:r>
    </w:p>
    <w:p w14:paraId="1D3481F0" w14:textId="77777777" w:rsidR="00B43C4D" w:rsidRDefault="00B822D6">
      <w:pPr>
        <w:pStyle w:val="20"/>
        <w:spacing w:before="156"/>
        <w:ind w:firstLine="482"/>
        <w:rPr>
          <w:rFonts w:hint="default"/>
          <w:b/>
          <w:bCs/>
        </w:rPr>
      </w:pPr>
      <w:r>
        <w:rPr>
          <w:b/>
          <w:bCs/>
        </w:rPr>
        <w:t>【案例五】人人租平台被指"霸王条款"，提前归还电脑遭高额违约金</w:t>
      </w:r>
    </w:p>
    <w:p w14:paraId="0269851F" w14:textId="77777777" w:rsidR="00B43C4D" w:rsidRDefault="00B822D6">
      <w:pPr>
        <w:pStyle w:val="20"/>
        <w:spacing w:before="156"/>
        <w:rPr>
          <w:rFonts w:hint="default"/>
        </w:rPr>
      </w:pPr>
      <w:r>
        <w:t>5月29日，消费者方赛通过支付宝"人人租"平台租赁笔记本电脑一台，租期一年。在提前归还电脑后，商家以"租约未到期"为由收取剩余租期12%违约金231元，且未退还当月多收租金71.5元。</w:t>
      </w:r>
    </w:p>
    <w:p w14:paraId="25249AD4" w14:textId="77777777" w:rsidR="00B43C4D" w:rsidRDefault="00B822D6">
      <w:pPr>
        <w:pStyle w:val="20"/>
        <w:spacing w:before="156"/>
        <w:rPr>
          <w:rFonts w:hint="default"/>
        </w:rPr>
      </w:pPr>
      <w:r>
        <w:t>消费者指出，租赁前商家未明确告知违约金条款，认为此举侵害了消费者知情权与公平交易权。</w:t>
      </w:r>
    </w:p>
    <w:p w14:paraId="08548313" w14:textId="77777777" w:rsidR="00B43C4D" w:rsidRDefault="00B822D6">
      <w:pPr>
        <w:pStyle w:val="20"/>
        <w:spacing w:before="156"/>
        <w:ind w:firstLine="482"/>
        <w:rPr>
          <w:rFonts w:hint="default"/>
          <w:b/>
          <w:bCs/>
        </w:rPr>
      </w:pPr>
      <w:r>
        <w:rPr>
          <w:b/>
          <w:bCs/>
        </w:rPr>
        <w:t>【案例六】</w:t>
      </w:r>
      <w:r>
        <w:rPr>
          <w:rStyle w:val="aa"/>
        </w:rPr>
        <w:t>用户</w:t>
      </w:r>
      <w:r>
        <w:rPr>
          <w:b/>
          <w:bCs/>
        </w:rPr>
        <w:t>投诉“转转”验机</w:t>
      </w:r>
      <w:hyperlink r:id="rId27" w:tgtFrame="_blank" w:history="1">
        <w:r>
          <w:rPr>
            <w:b/>
            <w:bCs/>
          </w:rPr>
          <w:t>报告</w:t>
        </w:r>
      </w:hyperlink>
      <w:r>
        <w:rPr>
          <w:b/>
          <w:bCs/>
        </w:rPr>
        <w:t>造假 涉及</w:t>
      </w:r>
      <w:hyperlink r:id="rId28" w:tgtFrame="_blank" w:history="1">
        <w:r>
          <w:rPr>
            <w:b/>
            <w:bCs/>
          </w:rPr>
          <w:t>欺诈</w:t>
        </w:r>
      </w:hyperlink>
      <w:r>
        <w:rPr>
          <w:b/>
          <w:bCs/>
        </w:rPr>
        <w:t>行为</w:t>
      </w:r>
      <w:r>
        <w:rPr>
          <w:rFonts w:hint="default"/>
          <w:b/>
          <w:bCs/>
        </w:rPr>
        <w:t> </w:t>
      </w:r>
    </w:p>
    <w:p w14:paraId="2D352208" w14:textId="77777777" w:rsidR="00B43C4D" w:rsidRDefault="00B822D6">
      <w:pPr>
        <w:pStyle w:val="20"/>
        <w:spacing w:before="156"/>
        <w:rPr>
          <w:rFonts w:hint="default"/>
        </w:rPr>
      </w:pPr>
      <w:r>
        <w:t>5月24日，安徽省的黄先生向电诉宝投诉称，其于2024年7月28日通过转转平台购入一部标注为“99新”的苹果13 Pro手机，购买价格为4388元，平台承诺质保期一年。2025年3月，该手机首次出现卡顿现象，黄先生按流程</w:t>
      </w:r>
      <w:r>
        <w:lastRenderedPageBreak/>
        <w:t>将设备寄回转转</w:t>
      </w:r>
      <w:hyperlink r:id="rId29" w:tgtFrame="_blank" w:history="1">
        <w:r>
          <w:t>售后</w:t>
        </w:r>
      </w:hyperlink>
      <w:r>
        <w:t>平台。但整个维修过程耗时18天，远超常规周期。黄先生收到修复后的手机后，手机表现为频繁死机、卡顿及自动重启。</w:t>
      </w:r>
    </w:p>
    <w:p w14:paraId="6A67543C" w14:textId="77777777" w:rsidR="00B43C4D" w:rsidRDefault="00B822D6">
      <w:pPr>
        <w:pStyle w:val="20"/>
        <w:spacing w:before="156"/>
        <w:rPr>
          <w:rFonts w:hint="default"/>
        </w:rPr>
      </w:pPr>
      <w:r>
        <w:t>黄先生查明手机明显为经过大规模维修的拼装设备。这一结果与黄先生购买时平台提供的验机报告（标注为“99新原装正品”）存在根本性差异，黄先生认为此举已构成欺诈行为。</w:t>
      </w:r>
    </w:p>
    <w:p w14:paraId="19177F01" w14:textId="77777777" w:rsidR="00B43C4D" w:rsidRDefault="00B822D6">
      <w:pPr>
        <w:pStyle w:val="20"/>
        <w:spacing w:before="156"/>
        <w:ind w:firstLine="482"/>
        <w:rPr>
          <w:rFonts w:hint="default"/>
          <w:b/>
          <w:bCs/>
        </w:rPr>
      </w:pPr>
      <w:r>
        <w:rPr>
          <w:b/>
          <w:bCs/>
        </w:rPr>
        <w:t>【案例七】微信交易遇“质量坑”：桌子越修越坏，商家称“修不了”</w:t>
      </w:r>
    </w:p>
    <w:p w14:paraId="357010D9" w14:textId="77777777" w:rsidR="00B43C4D" w:rsidRDefault="00B822D6">
      <w:pPr>
        <w:pStyle w:val="20"/>
        <w:spacing w:before="156"/>
        <w:rPr>
          <w:rFonts w:hint="default"/>
        </w:rPr>
      </w:pPr>
      <w:r>
        <w:rPr>
          <w:rFonts w:hint="default"/>
        </w:rPr>
        <w:t>6</w:t>
      </w:r>
      <w:r>
        <w:t>月</w:t>
      </w:r>
      <w:r>
        <w:rPr>
          <w:rFonts w:hint="default"/>
        </w:rPr>
        <w:t>10</w:t>
      </w:r>
      <w:r>
        <w:t>日，青海省陈女士向“电诉宝”投诉称其于2025年5月19日通过微信与某视频号推广商家达成交易，购买实木家具一套（含桌子、罗汉床及4把椅子）。收货后发现桌子存在严重裂缝，经商家维修后，裂缝非但未修复，反而变得更长更宽，且桌面严重变形。</w:t>
      </w:r>
    </w:p>
    <w:p w14:paraId="27431340" w14:textId="77777777" w:rsidR="00B43C4D" w:rsidRDefault="00B822D6">
      <w:pPr>
        <w:pStyle w:val="20"/>
        <w:spacing w:before="156"/>
        <w:rPr>
          <w:rFonts w:hint="default"/>
        </w:rPr>
      </w:pPr>
      <w:r>
        <w:t>消费者再次联系商家，对方表示无法继续维修，但未提供退货或换货方案，损害消费者合法权益。</w:t>
      </w:r>
    </w:p>
    <w:p w14:paraId="53463D7D" w14:textId="77777777" w:rsidR="00B43C4D" w:rsidRDefault="00B822D6">
      <w:pPr>
        <w:pStyle w:val="20"/>
        <w:spacing w:before="156"/>
        <w:ind w:firstLine="482"/>
        <w:rPr>
          <w:rFonts w:hint="default"/>
          <w:b/>
          <w:bCs/>
        </w:rPr>
      </w:pPr>
      <w:r>
        <w:rPr>
          <w:b/>
          <w:bCs/>
        </w:rPr>
        <w:t>【案例八】消费者投诉闲鱼卖家欺诈销售问题手机 平台涉嫌包庇纵容</w:t>
      </w:r>
    </w:p>
    <w:p w14:paraId="48B1C9F0" w14:textId="77777777" w:rsidR="00B43C4D" w:rsidRDefault="00B822D6">
      <w:pPr>
        <w:pStyle w:val="20"/>
        <w:spacing w:before="156"/>
        <w:rPr>
          <w:rFonts w:hint="default"/>
        </w:rPr>
      </w:pPr>
      <w:r>
        <w:rPr>
          <w:rFonts w:hint="default"/>
        </w:rPr>
        <w:t>6月12日，</w:t>
      </w:r>
      <w:r>
        <w:t>贵州省的左女士</w:t>
      </w:r>
      <w:r>
        <w:rPr>
          <w:rFonts w:hint="default"/>
        </w:rPr>
        <w:t>向电诉宝投诉称，</w:t>
      </w:r>
      <w:r>
        <w:t>其在闲鱼平台购买一台iPhone11，卖家承诺"摄像头功能正常、屏幕仅一处坏点"。实际收货后发现设备存在多项未告知的质量问题：后摄像头拍照黑斑、前摄像头内异物、屏幕多处黑点及漏液。</w:t>
      </w:r>
    </w:p>
    <w:p w14:paraId="679CDABF" w14:textId="77777777" w:rsidR="00B43C4D" w:rsidRDefault="00B822D6">
      <w:pPr>
        <w:pStyle w:val="20"/>
        <w:spacing w:before="156"/>
        <w:rPr>
          <w:rFonts w:hint="default"/>
        </w:rPr>
      </w:pPr>
      <w:r>
        <w:t>消费者提供证明，寄出时设备完好。但卖家签收后以"手机无法开机"和"撕标不保不退"为由拒绝退款。经查，卖家隐瞒商品真实状况的行为已涉嫌欺诈，而闲鱼平台在消费者提交完整证据的情况下仍偏袒卖家。</w:t>
      </w:r>
    </w:p>
    <w:p w14:paraId="0780B412" w14:textId="77777777" w:rsidR="00B43C4D" w:rsidRDefault="00B822D6">
      <w:pPr>
        <w:pStyle w:val="20"/>
        <w:spacing w:before="156"/>
        <w:ind w:firstLine="482"/>
        <w:rPr>
          <w:rFonts w:hint="default"/>
          <w:b/>
          <w:bCs/>
        </w:rPr>
      </w:pPr>
      <w:r>
        <w:rPr>
          <w:b/>
          <w:bCs/>
        </w:rPr>
        <w:t>【案例九】“9</w:t>
      </w:r>
      <w:r>
        <w:rPr>
          <w:rFonts w:hint="default"/>
          <w:b/>
          <w:bCs/>
        </w:rPr>
        <w:t>5</w:t>
      </w:r>
      <w:r>
        <w:rPr>
          <w:b/>
          <w:bCs/>
        </w:rPr>
        <w:t>分”平台信息披露缺失的消费争议</w:t>
      </w:r>
    </w:p>
    <w:p w14:paraId="6F88D27B" w14:textId="77777777" w:rsidR="00B43C4D" w:rsidRDefault="00B822D6">
      <w:pPr>
        <w:pStyle w:val="20"/>
        <w:spacing w:before="156"/>
        <w:rPr>
          <w:rFonts w:hint="default"/>
        </w:rPr>
      </w:pPr>
      <w:r>
        <w:rPr>
          <w:rFonts w:hint="default"/>
        </w:rPr>
        <w:t>6月20日，</w:t>
      </w:r>
      <w:r>
        <w:t>广东省的李女士</w:t>
      </w:r>
      <w:r>
        <w:rPr>
          <w:rFonts w:hint="default"/>
        </w:rPr>
        <w:t>向“电诉宝”投诉称其</w:t>
      </w:r>
      <w:r>
        <w:t>某消费者在 95 分 app 购买 MCM 菜篮子包包，商品页面图片放大展示显 “又大又能装”，且无任何文字说明及不支持退款标注。</w:t>
      </w:r>
    </w:p>
    <w:p w14:paraId="6EFF9E82" w14:textId="77777777" w:rsidR="00B43C4D" w:rsidRDefault="00B822D6">
      <w:pPr>
        <w:pStyle w:val="20"/>
        <w:spacing w:before="156"/>
        <w:rPr>
          <w:rFonts w:hint="default"/>
        </w:rPr>
      </w:pPr>
      <w:r>
        <w:t>收货后发现实物极小无法使用，联系客服申请退款遭拒，客服态度恶劣且以</w:t>
      </w:r>
      <w:r>
        <w:lastRenderedPageBreak/>
        <w:t>机器回复推诿，称让其自行重新上架。消费者认为平台强买强卖，诉求退还购物款，望相关方保障消费者合法权益。</w:t>
      </w:r>
    </w:p>
    <w:p w14:paraId="5F70DBBC" w14:textId="77777777" w:rsidR="00B43C4D" w:rsidRDefault="00B822D6">
      <w:pPr>
        <w:pStyle w:val="20"/>
        <w:spacing w:before="156"/>
        <w:ind w:firstLine="482"/>
        <w:rPr>
          <w:rFonts w:hint="default"/>
          <w:b/>
          <w:bCs/>
        </w:rPr>
      </w:pPr>
      <w:r>
        <w:rPr>
          <w:b/>
          <w:bCs/>
        </w:rPr>
        <w:t>【案例十】用户称在孔夫子旧书网遇 “盗版陷阱” 退款遭拒维权难</w:t>
      </w:r>
    </w:p>
    <w:p w14:paraId="07AA948A" w14:textId="77777777" w:rsidR="00B43C4D" w:rsidRDefault="00B822D6">
      <w:pPr>
        <w:pStyle w:val="20"/>
        <w:spacing w:before="156"/>
        <w:rPr>
          <w:rFonts w:hint="default"/>
        </w:rPr>
      </w:pPr>
      <w:r>
        <w:t>6 月 11 日，消费者在孔夫子旧书网书摊购入《龙族》小说。购买前，消费者向商家确认书籍为正版，商家予以肯定答复。收货后，消费者发现该书无防伪页，且商家拍摄商品时刻意避开首页，存在故意隐瞒嫌疑，认定为盗版。</w:t>
      </w:r>
    </w:p>
    <w:p w14:paraId="3611326C" w14:textId="77777777" w:rsidR="00B43C4D" w:rsidRDefault="00B822D6">
      <w:pPr>
        <w:pStyle w:val="20"/>
        <w:spacing w:before="156"/>
        <w:rPr>
          <w:rFonts w:hint="default"/>
          <w:b/>
          <w:bCs/>
        </w:rPr>
      </w:pPr>
      <w:r>
        <w:t>消费者随即发起退货申请，却遭商家多次拒绝，商家甚至坚称无防伪页书籍亦属正版。目前，消费者唯一诉求是退还购书款项，希望平台介入处理，维护自身权益。</w:t>
      </w:r>
    </w:p>
    <w:p w14:paraId="4CC82D3B" w14:textId="77777777" w:rsidR="00B43C4D" w:rsidRDefault="00B822D6">
      <w:pPr>
        <w:pStyle w:val="10"/>
        <w:numPr>
          <w:ilvl w:val="0"/>
          <w:numId w:val="2"/>
        </w:numPr>
        <w:rPr>
          <w:rFonts w:hint="default"/>
        </w:rPr>
      </w:pPr>
      <w:bookmarkStart w:id="15" w:name="_Toc18521"/>
      <w:r>
        <w:t>数字生活数据与十大典型案例</w:t>
      </w:r>
      <w:bookmarkEnd w:id="15"/>
    </w:p>
    <w:p w14:paraId="367BFBAA" w14:textId="77777777" w:rsidR="00B43C4D" w:rsidRDefault="00B822D6">
      <w:pPr>
        <w:pStyle w:val="20"/>
        <w:spacing w:before="156"/>
        <w:ind w:firstLine="482"/>
        <w:rPr>
          <w:rFonts w:hint="default"/>
          <w:b/>
          <w:bCs/>
        </w:rPr>
      </w:pPr>
      <w:r>
        <w:rPr>
          <w:b/>
          <w:bCs/>
        </w:rPr>
        <w:t>数字生活消费评级榜</w:t>
      </w:r>
    </w:p>
    <w:p w14:paraId="4D726A52" w14:textId="77777777" w:rsidR="00B43C4D" w:rsidRDefault="00B822D6">
      <w:pPr>
        <w:pStyle w:val="20"/>
        <w:spacing w:before="156"/>
        <w:rPr>
          <w:rFonts w:hint="default"/>
        </w:rPr>
      </w:pPr>
      <w:r>
        <w:t>在2025年“6</w:t>
      </w:r>
      <w:r>
        <w:rPr>
          <w:rFonts w:hint="default"/>
        </w:rPr>
        <w:t>18</w:t>
      </w:r>
      <w:r>
        <w:t>”期间全国数字生活评级榜中：获</w:t>
      </w:r>
      <w:r>
        <w:rPr>
          <w:b/>
          <w:bCs/>
        </w:rPr>
        <w:t>“建议下单”</w:t>
      </w:r>
      <w:r>
        <w:t>的有：美团、去哪儿等2家；获</w:t>
      </w:r>
      <w:r>
        <w:rPr>
          <w:b/>
          <w:bCs/>
        </w:rPr>
        <w:t>“谨慎下单”</w:t>
      </w:r>
      <w:r>
        <w:t>评级的有：万师傅、B</w:t>
      </w:r>
      <w:r>
        <w:rPr>
          <w:rFonts w:hint="default"/>
        </w:rPr>
        <w:t>OSS</w:t>
      </w:r>
      <w:r>
        <w:t>直聘、智行等</w:t>
      </w:r>
      <w:r>
        <w:rPr>
          <w:rFonts w:hint="default"/>
        </w:rPr>
        <w:t>3</w:t>
      </w:r>
      <w:r>
        <w:t>家；获</w:t>
      </w:r>
      <w:r>
        <w:rPr>
          <w:b/>
          <w:bCs/>
        </w:rPr>
        <w:t>“不予评级”</w:t>
      </w:r>
      <w:r>
        <w:t>的有：饿了么。</w:t>
      </w:r>
    </w:p>
    <w:p w14:paraId="3965A328" w14:textId="77777777" w:rsidR="00B43C4D" w:rsidRDefault="00B822D6">
      <w:pPr>
        <w:jc w:val="center"/>
      </w:pPr>
      <w:r>
        <w:rPr>
          <w:rFonts w:hint="eastAsia"/>
          <w:noProof/>
        </w:rPr>
        <w:drawing>
          <wp:inline distT="0" distB="0" distL="114300" distR="114300" wp14:anchorId="7F8AEEBB" wp14:editId="0FF57A0B">
            <wp:extent cx="5271770" cy="3545205"/>
            <wp:effectExtent l="0" t="0" r="11430" b="10795"/>
            <wp:docPr id="8" name="图片 8" descr="a51eddcdb4852b84e2362e29533b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1eddcdb4852b84e2362e29533b6de"/>
                    <pic:cNvPicPr>
                      <a:picLocks noChangeAspect="1"/>
                    </pic:cNvPicPr>
                  </pic:nvPicPr>
                  <pic:blipFill>
                    <a:blip r:embed="rId30"/>
                    <a:stretch>
                      <a:fillRect/>
                    </a:stretch>
                  </pic:blipFill>
                  <pic:spPr>
                    <a:xfrm>
                      <a:off x="0" y="0"/>
                      <a:ext cx="5271770" cy="3545205"/>
                    </a:xfrm>
                    <a:prstGeom prst="rect">
                      <a:avLst/>
                    </a:prstGeom>
                  </pic:spPr>
                </pic:pic>
              </a:graphicData>
            </a:graphic>
          </wp:inline>
        </w:drawing>
      </w:r>
    </w:p>
    <w:p w14:paraId="0B31076E" w14:textId="77777777" w:rsidR="00B43C4D" w:rsidRDefault="00B822D6">
      <w:pPr>
        <w:pStyle w:val="20"/>
        <w:spacing w:before="156"/>
        <w:ind w:firstLine="562"/>
        <w:rPr>
          <w:rFonts w:hint="default"/>
          <w:b/>
          <w:bCs/>
          <w:sz w:val="28"/>
          <w:szCs w:val="28"/>
        </w:rPr>
      </w:pPr>
      <w:r>
        <w:rPr>
          <w:b/>
          <w:bCs/>
          <w:sz w:val="28"/>
          <w:szCs w:val="28"/>
        </w:rPr>
        <w:lastRenderedPageBreak/>
        <w:t>数字生活上榜平台有1</w:t>
      </w:r>
      <w:r>
        <w:rPr>
          <w:rFonts w:hint="default"/>
          <w:b/>
          <w:bCs/>
          <w:sz w:val="28"/>
          <w:szCs w:val="28"/>
        </w:rPr>
        <w:t>4</w:t>
      </w:r>
      <w:r>
        <w:rPr>
          <w:b/>
          <w:bCs/>
          <w:sz w:val="28"/>
          <w:szCs w:val="28"/>
        </w:rPr>
        <w:t>家：</w:t>
      </w:r>
    </w:p>
    <w:p w14:paraId="72F6CEE4" w14:textId="77777777" w:rsidR="00B43C4D" w:rsidRDefault="00B822D6">
      <w:pPr>
        <w:spacing w:beforeLines="50" w:before="156" w:line="360" w:lineRule="auto"/>
        <w:ind w:firstLineChars="200" w:firstLine="480"/>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投诉量</w:t>
      </w:r>
      <w:r>
        <w:rPr>
          <w:rFonts w:asciiTheme="minorEastAsia" w:hAnsiTheme="minorEastAsia" w:cstheme="minorEastAsia" w:hint="eastAsia"/>
          <w:b/>
          <w:color w:val="000000" w:themeColor="text1"/>
          <w:sz w:val="24"/>
        </w:rPr>
        <w:t>TOP10</w:t>
      </w:r>
      <w:r>
        <w:rPr>
          <w:rFonts w:asciiTheme="minorEastAsia" w:hAnsiTheme="minorEastAsia" w:cstheme="minorEastAsia" w:hint="eastAsia"/>
          <w:bCs/>
          <w:color w:val="000000" w:themeColor="text1"/>
          <w:sz w:val="24"/>
        </w:rPr>
        <w:t>依次为：万师傅、美团、饿了么、去哪儿、B</w:t>
      </w:r>
      <w:r>
        <w:rPr>
          <w:rFonts w:asciiTheme="minorEastAsia" w:hAnsiTheme="minorEastAsia" w:cstheme="minorEastAsia"/>
          <w:bCs/>
          <w:color w:val="000000" w:themeColor="text1"/>
          <w:sz w:val="24"/>
        </w:rPr>
        <w:t>OSS</w:t>
      </w:r>
      <w:r>
        <w:rPr>
          <w:rFonts w:asciiTheme="minorEastAsia" w:hAnsiTheme="minorEastAsia" w:cstheme="minorEastAsia" w:hint="eastAsia"/>
          <w:bCs/>
          <w:color w:val="000000" w:themeColor="text1"/>
          <w:sz w:val="24"/>
        </w:rPr>
        <w:t>直聘、智行、飞猪、大麦网、联联周边游、智联招聘。</w:t>
      </w:r>
    </w:p>
    <w:p w14:paraId="016BE90F" w14:textId="77777777" w:rsidR="00B43C4D" w:rsidRDefault="00B822D6">
      <w:pPr>
        <w:spacing w:beforeLines="50" w:before="156" w:line="360" w:lineRule="auto"/>
        <w:ind w:firstLineChars="200" w:firstLine="480"/>
        <w:rPr>
          <w:rFonts w:eastAsia="仿宋"/>
        </w:rPr>
      </w:pPr>
      <w:r>
        <w:rPr>
          <w:rFonts w:asciiTheme="minorEastAsia" w:hAnsiTheme="minorEastAsia" w:cstheme="minorEastAsia" w:hint="eastAsia"/>
          <w:bCs/>
          <w:color w:val="000000" w:themeColor="text1"/>
          <w:sz w:val="24"/>
        </w:rPr>
        <w:t>排在</w:t>
      </w:r>
      <w:r>
        <w:rPr>
          <w:rFonts w:asciiTheme="minorEastAsia" w:hAnsiTheme="minorEastAsia" w:cstheme="minorEastAsia" w:hint="eastAsia"/>
          <w:b/>
          <w:color w:val="000000" w:themeColor="text1"/>
          <w:sz w:val="24"/>
        </w:rPr>
        <w:t>第11-1</w:t>
      </w:r>
      <w:r>
        <w:rPr>
          <w:rFonts w:asciiTheme="minorEastAsia" w:hAnsiTheme="minorEastAsia" w:cstheme="minorEastAsia"/>
          <w:b/>
          <w:color w:val="000000" w:themeColor="text1"/>
          <w:sz w:val="24"/>
        </w:rPr>
        <w:t>4</w:t>
      </w:r>
      <w:r>
        <w:rPr>
          <w:rFonts w:asciiTheme="minorEastAsia" w:hAnsiTheme="minorEastAsia" w:cstheme="minorEastAsia" w:hint="eastAsia"/>
          <w:b/>
          <w:color w:val="000000" w:themeColor="text1"/>
          <w:sz w:val="24"/>
        </w:rPr>
        <w:t>名</w:t>
      </w:r>
      <w:r>
        <w:rPr>
          <w:rFonts w:asciiTheme="minorEastAsia" w:hAnsiTheme="minorEastAsia" w:cstheme="minorEastAsia" w:hint="eastAsia"/>
          <w:bCs/>
          <w:color w:val="000000" w:themeColor="text1"/>
          <w:sz w:val="24"/>
        </w:rPr>
        <w:t>的是：高德、华住酒店、T</w:t>
      </w:r>
      <w:r>
        <w:rPr>
          <w:rFonts w:asciiTheme="minorEastAsia" w:hAnsiTheme="minorEastAsia" w:cstheme="minorEastAsia"/>
          <w:bCs/>
          <w:color w:val="000000" w:themeColor="text1"/>
          <w:sz w:val="24"/>
        </w:rPr>
        <w:t>3</w:t>
      </w:r>
      <w:r>
        <w:rPr>
          <w:rFonts w:asciiTheme="minorEastAsia" w:hAnsiTheme="minorEastAsia" w:cstheme="minorEastAsia" w:hint="eastAsia"/>
          <w:bCs/>
          <w:color w:val="000000" w:themeColor="text1"/>
          <w:sz w:val="24"/>
        </w:rPr>
        <w:t>出行、哈啰出行</w:t>
      </w:r>
      <w:r>
        <w:rPr>
          <w:rFonts w:asciiTheme="minorEastAsia" w:hAnsiTheme="minorEastAsia" w:cstheme="minorEastAsia" w:hint="eastAsia"/>
          <w:color w:val="000000" w:themeColor="text1"/>
          <w:sz w:val="24"/>
        </w:rPr>
        <w:t>。</w:t>
      </w:r>
    </w:p>
    <w:p w14:paraId="23D88B0A" w14:textId="0BDB3B89" w:rsidR="00B43C4D" w:rsidRDefault="00352D0D">
      <w:r>
        <w:rPr>
          <w:noProof/>
        </w:rPr>
        <w:drawing>
          <wp:inline distT="0" distB="0" distL="0" distR="0" wp14:anchorId="7487ADD7" wp14:editId="0F496E6C">
            <wp:extent cx="5274310" cy="38017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801745"/>
                    </a:xfrm>
                    <a:prstGeom prst="rect">
                      <a:avLst/>
                    </a:prstGeom>
                  </pic:spPr>
                </pic:pic>
              </a:graphicData>
            </a:graphic>
          </wp:inline>
        </w:drawing>
      </w:r>
    </w:p>
    <w:p w14:paraId="455AC704" w14:textId="77777777" w:rsidR="00B43C4D" w:rsidRDefault="00B822D6">
      <w:pPr>
        <w:pStyle w:val="20"/>
        <w:spacing w:before="156"/>
        <w:rPr>
          <w:rFonts w:hint="default"/>
        </w:rPr>
      </w:pPr>
      <w:r>
        <w:t>在数字生活消费领域，据“电诉宝”受理用户维权案例，我们从中选取十大典型投诉案例，涉及</w:t>
      </w:r>
      <w:r>
        <w:rPr>
          <w:b/>
          <w:bCs/>
        </w:rPr>
        <w:t>万师傅、B</w:t>
      </w:r>
      <w:r>
        <w:rPr>
          <w:rFonts w:hint="default"/>
          <w:b/>
          <w:bCs/>
        </w:rPr>
        <w:t>OSS</w:t>
      </w:r>
      <w:r>
        <w:rPr>
          <w:b/>
          <w:bCs/>
        </w:rPr>
        <w:t>直聘、智行、去哪儿、智联招聘、大麦网、联联周边游、飞猪、高德、</w:t>
      </w:r>
      <w:r>
        <w:rPr>
          <w:rFonts w:asciiTheme="minorEastAsia" w:hAnsiTheme="minorEastAsia" w:cstheme="minorEastAsia"/>
          <w:b/>
        </w:rPr>
        <w:t>T3出行</w:t>
      </w:r>
      <w:r>
        <w:t>。</w:t>
      </w:r>
    </w:p>
    <w:p w14:paraId="4691B543" w14:textId="77777777" w:rsidR="00B43C4D" w:rsidRDefault="00B822D6">
      <w:pPr>
        <w:spacing w:beforeLines="50" w:before="156" w:line="360" w:lineRule="auto"/>
        <w:jc w:val="center"/>
        <w:rPr>
          <w:rFonts w:ascii="宋体" w:eastAsia="宋体" w:hAnsi="宋体" w:cs="宋体"/>
          <w:b/>
          <w:sz w:val="24"/>
        </w:rPr>
      </w:pPr>
      <w:r>
        <w:rPr>
          <w:noProof/>
        </w:rPr>
        <w:lastRenderedPageBreak/>
        <w:drawing>
          <wp:inline distT="0" distB="0" distL="114300" distR="114300" wp14:anchorId="75BAA47E" wp14:editId="14457E25">
            <wp:extent cx="5269865" cy="3923030"/>
            <wp:effectExtent l="0" t="0" r="63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2"/>
                    <a:stretch>
                      <a:fillRect/>
                    </a:stretch>
                  </pic:blipFill>
                  <pic:spPr>
                    <a:xfrm>
                      <a:off x="0" y="0"/>
                      <a:ext cx="5269865" cy="3923030"/>
                    </a:xfrm>
                    <a:prstGeom prst="rect">
                      <a:avLst/>
                    </a:prstGeom>
                    <a:noFill/>
                    <a:ln>
                      <a:noFill/>
                    </a:ln>
                  </pic:spPr>
                </pic:pic>
              </a:graphicData>
            </a:graphic>
          </wp:inline>
        </w:drawing>
      </w:r>
    </w:p>
    <w:p w14:paraId="5EE3B48A" w14:textId="77777777" w:rsidR="00B43C4D" w:rsidRDefault="00B822D6">
      <w:pPr>
        <w:pStyle w:val="20"/>
        <w:spacing w:before="156"/>
        <w:ind w:firstLine="482"/>
        <w:rPr>
          <w:rFonts w:hint="default"/>
          <w:b/>
          <w:bCs/>
        </w:rPr>
      </w:pPr>
      <w:r>
        <w:rPr>
          <w:b/>
          <w:bCs/>
        </w:rPr>
        <w:t>【案例一】万师傅平台用户投诉账号无故被封，5万余元无法提现</w:t>
      </w:r>
    </w:p>
    <w:p w14:paraId="6091ECDF" w14:textId="77777777" w:rsidR="00B43C4D" w:rsidRDefault="00B822D6">
      <w:pPr>
        <w:pStyle w:val="20"/>
        <w:spacing w:before="156"/>
        <w:rPr>
          <w:rFonts w:ascii="Segoe UI" w:hAnsi="Segoe UI" w:cs="Segoe UI" w:hint="default"/>
          <w:color w:val="404040"/>
          <w:shd w:val="clear" w:color="auto" w:fill="FFFFFF"/>
        </w:rPr>
      </w:pPr>
      <w:r>
        <w:rPr>
          <w:rFonts w:hint="default"/>
        </w:rPr>
        <w:t>6</w:t>
      </w:r>
      <w:r>
        <w:t>月2</w:t>
      </w:r>
      <w:r>
        <w:rPr>
          <w:rFonts w:hint="default"/>
        </w:rPr>
        <w:t>0</w:t>
      </w:r>
      <w:r>
        <w:t>日，上海市</w:t>
      </w:r>
      <w:r>
        <w:rPr>
          <w:rFonts w:hint="default"/>
        </w:rPr>
        <w:t>的</w:t>
      </w:r>
      <w:r>
        <w:t>盛</w:t>
      </w:r>
      <w:r>
        <w:rPr>
          <w:rFonts w:hint="default"/>
        </w:rPr>
        <w:t>先生向“电诉宝”投诉称</w:t>
      </w:r>
      <w:r>
        <w:rPr>
          <w:rFonts w:ascii="Segoe UI" w:hAnsi="Segoe UI" w:cs="Segoe UI"/>
          <w:color w:val="404040"/>
          <w:shd w:val="clear" w:color="auto" w:fill="FFFFFF"/>
        </w:rPr>
        <w:t>其账号被平台以“使用外挂软件”为由封禁，导致账户内</w:t>
      </w:r>
      <w:r>
        <w:rPr>
          <w:rFonts w:ascii="Segoe UI" w:hAnsi="Segoe UI" w:cs="Segoe UI"/>
          <w:color w:val="404040"/>
          <w:shd w:val="clear" w:color="auto" w:fill="FFFFFF"/>
        </w:rPr>
        <w:t>5</w:t>
      </w:r>
      <w:r>
        <w:rPr>
          <w:rFonts w:ascii="Segoe UI" w:hAnsi="Segoe UI" w:cs="Segoe UI"/>
          <w:color w:val="404040"/>
          <w:shd w:val="clear" w:color="auto" w:fill="FFFFFF"/>
        </w:rPr>
        <w:t>万多元无法提现。</w:t>
      </w:r>
    </w:p>
    <w:p w14:paraId="5938FF93" w14:textId="77777777" w:rsidR="00B43C4D" w:rsidRDefault="00B822D6">
      <w:pPr>
        <w:pStyle w:val="20"/>
        <w:spacing w:before="156"/>
        <w:rPr>
          <w:rFonts w:ascii="Segoe UI" w:hAnsi="Segoe UI" w:cs="Segoe UI" w:hint="default"/>
          <w:color w:val="404040"/>
          <w:shd w:val="clear" w:color="auto" w:fill="FFFFFF"/>
        </w:rPr>
      </w:pPr>
      <w:r>
        <w:rPr>
          <w:rFonts w:ascii="Segoe UI" w:hAnsi="Segoe UI" w:cs="Segoe UI"/>
          <w:color w:val="404040"/>
          <w:shd w:val="clear" w:color="auto" w:fill="FFFFFF"/>
        </w:rPr>
        <w:t>该师傅多次联系平台运营及客服申诉，均未得到有效解决，坚称从未使用任何违规软件，要求平台解封账号并给出合理解释。他表示，作为平台劳动者，自身权益未得到保障，若问题持续未解决，将寻求法律途径或向监管部门投诉维权。</w:t>
      </w:r>
    </w:p>
    <w:p w14:paraId="7AB19F10" w14:textId="77777777" w:rsidR="00B43C4D" w:rsidRDefault="00B822D6">
      <w:pPr>
        <w:pStyle w:val="20"/>
        <w:spacing w:before="156"/>
        <w:ind w:firstLine="482"/>
        <w:rPr>
          <w:rFonts w:hint="default"/>
        </w:rPr>
      </w:pPr>
      <w:r>
        <w:rPr>
          <w:b/>
          <w:bCs/>
        </w:rPr>
        <w:t>【案例二】用户质疑BOSS直聘虚假宣传：平台拒不退款</w:t>
      </w:r>
    </w:p>
    <w:p w14:paraId="0B3021E6" w14:textId="77777777" w:rsidR="00B43C4D" w:rsidRDefault="00B822D6">
      <w:pPr>
        <w:pStyle w:val="20"/>
        <w:spacing w:before="156"/>
        <w:rPr>
          <w:rFonts w:hint="default"/>
        </w:rPr>
      </w:pPr>
      <w:r>
        <w:t>6月10日，广东省的龚先生作为人事专员通过BOSS直聘平台花费2316元购买了一项名为“置顶3天卡”的道具服务。在该道具的置顶效果结束后，该人事专员发现实际推广效果远低于平台宣传的效果，因此严重怀疑BOSS直聘平台存在夸大宣传的行为。</w:t>
      </w:r>
    </w:p>
    <w:p w14:paraId="50913C69" w14:textId="77777777" w:rsidR="00B43C4D" w:rsidRDefault="00B822D6">
      <w:pPr>
        <w:pStyle w:val="20"/>
        <w:spacing w:before="156"/>
        <w:rPr>
          <w:rFonts w:hint="default"/>
        </w:rPr>
      </w:pPr>
      <w:r>
        <w:t>龚先生就此事多次向平台发起申诉并要求退款，但平台</w:t>
      </w:r>
      <w:hyperlink r:id="rId33" w:tgtFrame="_blank" w:history="1">
        <w:r>
          <w:rPr>
            <w:rStyle w:val="ab"/>
          </w:rPr>
          <w:t>售后</w:t>
        </w:r>
      </w:hyperlink>
      <w:r>
        <w:t>部门均予以驳回，并告知后续将不再就该问题致电沟通，坚持不予退款的处理结果。此外，该</w:t>
      </w:r>
      <w:r>
        <w:lastRenderedPageBreak/>
        <w:t>人事专员还指出平台存在</w:t>
      </w:r>
      <w:r>
        <w:rPr>
          <w:rStyle w:val="aa"/>
        </w:rPr>
        <w:t>区别对待用户的情况</w:t>
      </w:r>
      <w:r>
        <w:t>，因其发现公司其他同事购买同类道具的价格与其本人购买的价格并不一致。</w:t>
      </w:r>
    </w:p>
    <w:p w14:paraId="6EC76966" w14:textId="77777777" w:rsidR="00B43C4D" w:rsidRDefault="00B822D6">
      <w:pPr>
        <w:pStyle w:val="20"/>
        <w:spacing w:before="156"/>
        <w:ind w:firstLine="482"/>
        <w:rPr>
          <w:rFonts w:hint="default"/>
          <w:b/>
          <w:bCs/>
        </w:rPr>
      </w:pPr>
      <w:r>
        <w:rPr>
          <w:b/>
          <w:bCs/>
        </w:rPr>
        <w:t>【案例三】用户投诉“智行”霸王条款 高额退票费</w:t>
      </w:r>
    </w:p>
    <w:p w14:paraId="7323656A" w14:textId="77777777" w:rsidR="00B43C4D" w:rsidRDefault="00B822D6">
      <w:pPr>
        <w:pStyle w:val="20"/>
        <w:spacing w:before="156"/>
        <w:rPr>
          <w:rFonts w:hint="default"/>
        </w:rPr>
      </w:pPr>
      <w:r>
        <w:rPr>
          <w:rFonts w:hint="default"/>
        </w:rPr>
        <w:t>6</w:t>
      </w:r>
      <w:r>
        <w:t>月</w:t>
      </w:r>
      <w:r>
        <w:rPr>
          <w:rFonts w:hint="default"/>
        </w:rPr>
        <w:t>13</w:t>
      </w:r>
      <w:r>
        <w:t>日，浙江省的杜先生向电诉宝投诉称其于智行平台在购票过程中默认勾选“出行宝”服务，且购买页面无法取消，涉嫌侵犯消费者知情权与自主选择权，违反《电子商务法》第十九条关于禁止默认搭售的规定。</w:t>
      </w:r>
    </w:p>
    <w:p w14:paraId="2FF67AFC" w14:textId="77777777" w:rsidR="00B43C4D" w:rsidRDefault="00B822D6">
      <w:pPr>
        <w:pStyle w:val="20"/>
        <w:spacing w:before="156"/>
        <w:rPr>
          <w:rFonts w:hint="default"/>
        </w:rPr>
      </w:pPr>
      <w:r>
        <w:t>此外，“出行宝”自动使用5元消费券且不可退订，被质疑为强制消费。消费者还指出，平台刻意隐藏人工客服入口，需输入特定数字才能接入，且客服态度恶劣、推诿问题。用户呼吁监管部门介入调查。</w:t>
      </w:r>
    </w:p>
    <w:p w14:paraId="1DD8E98B" w14:textId="77777777" w:rsidR="00B43C4D" w:rsidRDefault="00B822D6">
      <w:pPr>
        <w:pStyle w:val="20"/>
        <w:spacing w:before="156"/>
        <w:ind w:firstLine="482"/>
        <w:rPr>
          <w:rFonts w:hint="default"/>
          <w:b/>
          <w:bCs/>
        </w:rPr>
      </w:pPr>
      <w:r>
        <w:rPr>
          <w:b/>
          <w:bCs/>
        </w:rPr>
        <w:t>【案例四】去哪儿平台拒绝用户合理退款需求</w:t>
      </w:r>
    </w:p>
    <w:p w14:paraId="258444BA" w14:textId="77777777" w:rsidR="00B43C4D" w:rsidRDefault="00B822D6">
      <w:pPr>
        <w:pStyle w:val="20"/>
        <w:spacing w:before="156"/>
        <w:rPr>
          <w:rFonts w:hint="default"/>
        </w:rPr>
      </w:pPr>
      <w:r>
        <w:t>6月13日，浙江省的沈先生向“电诉宝”投诉称其于2025年6月12日在去哪儿旅游App下单购买中国香港迪士尼乐园成人票两张，预订6月25日使用，后于12:46申请退款，但于17:00被平台拒绝退款。</w:t>
      </w:r>
    </w:p>
    <w:p w14:paraId="5E4D5522" w14:textId="77777777" w:rsidR="00B43C4D" w:rsidRDefault="00B822D6">
      <w:pPr>
        <w:pStyle w:val="20"/>
        <w:spacing w:before="156"/>
        <w:rPr>
          <w:rFonts w:hint="default"/>
        </w:rPr>
      </w:pPr>
      <w:r>
        <w:t>用户表示，订单从未被核销，也未收到任何核销通知，且仍可通过App发送入园码至预留手机号。用户多次联系客服，但客服态度不一，部分客服甚至推卸责任，称迪士尼拒绝退款，后才告知用户订单已被核销。用户保留了与客服的通话录音作为证据，要求平台退还1062.2元，并希望得到电诉宝协助处理。</w:t>
      </w:r>
    </w:p>
    <w:p w14:paraId="57C7D0B8" w14:textId="77777777" w:rsidR="00B43C4D" w:rsidRDefault="00B822D6">
      <w:pPr>
        <w:pStyle w:val="20"/>
        <w:spacing w:before="156"/>
        <w:ind w:firstLine="482"/>
        <w:rPr>
          <w:rFonts w:hint="default"/>
          <w:b/>
          <w:bCs/>
        </w:rPr>
      </w:pPr>
      <w:r>
        <w:rPr>
          <w:b/>
          <w:bCs/>
        </w:rPr>
        <w:t>【案例五】“智联招聘”陷年卡套餐退款纠纷</w:t>
      </w:r>
    </w:p>
    <w:p w14:paraId="279EF4BE" w14:textId="77777777" w:rsidR="00B43C4D" w:rsidRDefault="00B822D6">
      <w:pPr>
        <w:pStyle w:val="20"/>
        <w:spacing w:before="156"/>
        <w:rPr>
          <w:rFonts w:hint="default"/>
        </w:rPr>
      </w:pPr>
      <w:r>
        <w:t>6</w:t>
      </w:r>
      <w:r>
        <w:rPr>
          <w:rFonts w:hint="default"/>
        </w:rPr>
        <w:t>月</w:t>
      </w:r>
      <w:r>
        <w:t>13</w:t>
      </w:r>
      <w:r>
        <w:rPr>
          <w:rFonts w:hint="default"/>
        </w:rPr>
        <w:t>日，</w:t>
      </w:r>
      <w:r>
        <w:t>河南省</w:t>
      </w:r>
      <w:r>
        <w:rPr>
          <w:rFonts w:hint="default"/>
        </w:rPr>
        <w:t>的</w:t>
      </w:r>
      <w:r>
        <w:t>王先生</w:t>
      </w:r>
      <w:r>
        <w:rPr>
          <w:rFonts w:hint="default"/>
        </w:rPr>
        <w:t>向“电诉宝”投诉称</w:t>
      </w:r>
      <w:bookmarkStart w:id="16" w:name="OLE_LINK2"/>
      <w:r>
        <w:rPr>
          <w:rFonts w:hint="default"/>
        </w:rPr>
        <w:t>其于四月中旬通过智联招聘销售人员购买了价值3880元的年卡套餐，但使用仅一个多月后账号突然被封禁。联系客服时，对方起初以“发布与经营范围不符的职位”为由拒绝解封或退款，后经用户解释缘由，客服表示认可并承诺反馈退款。</w:t>
      </w:r>
    </w:p>
    <w:p w14:paraId="181FE4F5" w14:textId="77777777" w:rsidR="00B43C4D" w:rsidRDefault="00B822D6">
      <w:pPr>
        <w:pStyle w:val="20"/>
        <w:spacing w:before="156"/>
        <w:rPr>
          <w:rFonts w:hint="default"/>
        </w:rPr>
      </w:pPr>
      <w:r>
        <w:rPr>
          <w:rFonts w:hint="default"/>
        </w:rPr>
        <w:t>然而，后续另一名工作人员又推翻前议，坚称无法退款。该公司认为智联招聘存在欺骗行为，退款诉求被无理拒绝，涉嫌霸王条款，侵犯了消费者的知情权与财产权，要求平台方全额退还费用并给出合理解释。</w:t>
      </w:r>
    </w:p>
    <w:p w14:paraId="1A9F4CDE" w14:textId="77777777" w:rsidR="00B43C4D" w:rsidRDefault="00B822D6">
      <w:pPr>
        <w:pStyle w:val="20"/>
        <w:spacing w:before="156"/>
        <w:ind w:firstLine="482"/>
        <w:rPr>
          <w:rFonts w:hint="default"/>
          <w:b/>
          <w:bCs/>
        </w:rPr>
      </w:pPr>
      <w:r>
        <w:rPr>
          <w:b/>
          <w:bCs/>
        </w:rPr>
        <w:lastRenderedPageBreak/>
        <w:t>【案例六】用户投诉</w:t>
      </w:r>
      <w:bookmarkEnd w:id="16"/>
      <w:r>
        <w:rPr>
          <w:b/>
          <w:bCs/>
        </w:rPr>
        <w:t>“大麦网”演唱会门票不合理扣费问题</w:t>
      </w:r>
    </w:p>
    <w:p w14:paraId="6C54AD86" w14:textId="77777777" w:rsidR="00B43C4D" w:rsidRDefault="00B822D6">
      <w:pPr>
        <w:pStyle w:val="20"/>
        <w:spacing w:before="156"/>
        <w:rPr>
          <w:rFonts w:hint="default"/>
        </w:rPr>
      </w:pPr>
      <w:r>
        <w:t>6月5日，天津市的周女士向“电诉宝”投诉称其在大麦网购买了三张6月1日的演唱会门票（本人、配偶及孩子各一张）。因孩子5月29日突发高烧持续不退，无法出席，用户于6月1日上午申请退掉配偶和孩子的两张票，并提供了医院就诊记录、缴费凭证及出生证明。</w:t>
      </w:r>
    </w:p>
    <w:p w14:paraId="0791D576" w14:textId="77777777" w:rsidR="00B43C4D" w:rsidRDefault="00B822D6">
      <w:pPr>
        <w:pStyle w:val="20"/>
        <w:spacing w:before="156"/>
        <w:rPr>
          <w:rFonts w:hint="default"/>
        </w:rPr>
      </w:pPr>
      <w:r>
        <w:t>然而，大麦网客服要求整单退票且扣除30%手续费（共计809.1元），并仅给予一小时考虑时间。由于当时用户正在医院照顾孩子，无法及时处理，被迫接受该方案。事后，用户认为因不可抗力因素退票，高额扣费不合理，多次协商未果，故投诉要求退还809.1元手续费。</w:t>
      </w:r>
    </w:p>
    <w:p w14:paraId="00B6B303" w14:textId="77777777" w:rsidR="00B43C4D" w:rsidRDefault="00B822D6">
      <w:pPr>
        <w:pStyle w:val="20"/>
        <w:spacing w:before="156"/>
        <w:ind w:firstLine="482"/>
        <w:rPr>
          <w:rFonts w:hint="default"/>
          <w:b/>
          <w:bCs/>
        </w:rPr>
      </w:pPr>
      <w:r>
        <w:rPr>
          <w:b/>
          <w:bCs/>
        </w:rPr>
        <w:t>【案例七】用户投诉联联周边游平台高额违约金不合理扣款</w:t>
      </w:r>
    </w:p>
    <w:p w14:paraId="7BFE34D5" w14:textId="77777777" w:rsidR="00B43C4D" w:rsidRDefault="00B822D6">
      <w:pPr>
        <w:pStyle w:val="20"/>
        <w:spacing w:before="156"/>
        <w:rPr>
          <w:rFonts w:hint="default"/>
        </w:rPr>
      </w:pPr>
      <w:r>
        <w:t>6月16日，四川省郑女士向“电诉宝”投诉称其在联联周边游平台购买黑龙滩洲际水乐园套票（金额228元），后因天气原因未能前往消费，并申请退款。平台以“订单未过有效期”为由，单方面扣除20%违约金（45.6元），仅退还182.4元。</w:t>
      </w:r>
    </w:p>
    <w:p w14:paraId="623DB8CD" w14:textId="77777777" w:rsidR="00B43C4D" w:rsidRDefault="00B822D6">
      <w:pPr>
        <w:pStyle w:val="20"/>
        <w:spacing w:before="156"/>
        <w:rPr>
          <w:rFonts w:hint="default"/>
        </w:rPr>
      </w:pPr>
      <w:r>
        <w:t>消费者认为，平台在购票时未显著提示高额违约金条款，且未实际提供任何服务或产生成本，扣款比例过高。因此，消费者主张该违约金条款不合理，要求平台退还全部扣款金额228元。</w:t>
      </w:r>
    </w:p>
    <w:p w14:paraId="74E78BBA" w14:textId="77777777" w:rsidR="00B43C4D" w:rsidRDefault="00B822D6">
      <w:pPr>
        <w:pStyle w:val="a8"/>
        <w:widowControl/>
        <w:spacing w:before="75" w:beforeAutospacing="0" w:after="75" w:afterAutospacing="0"/>
        <w:ind w:firstLine="420"/>
        <w:rPr>
          <w:b/>
          <w:bCs/>
        </w:rPr>
      </w:pPr>
      <w:r>
        <w:rPr>
          <w:b/>
          <w:bCs/>
        </w:rPr>
        <w:t>【案例八】用户投诉飞猪</w:t>
      </w:r>
      <w:r>
        <w:rPr>
          <w:rFonts w:hint="eastAsia"/>
          <w:b/>
          <w:bCs/>
        </w:rPr>
        <w:t>及</w:t>
      </w:r>
      <w:r>
        <w:rPr>
          <w:b/>
          <w:bCs/>
        </w:rPr>
        <w:t>亚航航班拒赔延误导致经济损失</w:t>
      </w:r>
    </w:p>
    <w:p w14:paraId="71E8570D" w14:textId="77777777" w:rsidR="00B43C4D" w:rsidRDefault="00B822D6">
      <w:pPr>
        <w:pStyle w:val="20"/>
        <w:spacing w:before="156"/>
        <w:rPr>
          <w:rFonts w:hint="default"/>
        </w:rPr>
      </w:pPr>
      <w:r>
        <w:t>6月19日，江苏省的森女生向“电诉宝”投诉称，其通过飞猪平台购买亚航上海-古晋往返机票（4程，总价6998元），并加购延误险及退票险。6月12日，古晋-吉隆坡延误导致后续航班无法衔接，飞猪在未征得同意的情况下强制退保延误无忧礼包。</w:t>
      </w:r>
    </w:p>
    <w:p w14:paraId="796090EB" w14:textId="77777777" w:rsidR="00B43C4D" w:rsidRDefault="00B822D6">
      <w:pPr>
        <w:pStyle w:val="20"/>
        <w:spacing w:before="156"/>
        <w:rPr>
          <w:rFonts w:hint="default"/>
        </w:rPr>
      </w:pPr>
      <w:r>
        <w:t>改签后，该航班再次延误至23:03起飞，致使消费者无法赶上原定航班，被迫自购东航机票（1993元）并支付810元改签费。然而，飞猪及亚航拒绝赔偿，未考虑前序延误的直接影响。消费者要求退还机票费用及改签损失.</w:t>
      </w:r>
    </w:p>
    <w:p w14:paraId="08A489AD" w14:textId="77777777" w:rsidR="00B43C4D" w:rsidRDefault="00B822D6">
      <w:pPr>
        <w:pStyle w:val="20"/>
        <w:spacing w:before="156"/>
        <w:ind w:firstLine="482"/>
        <w:rPr>
          <w:rFonts w:hint="default"/>
          <w:b/>
          <w:bCs/>
        </w:rPr>
      </w:pPr>
      <w:r>
        <w:rPr>
          <w:b/>
          <w:bCs/>
        </w:rPr>
        <w:t>【案例九】用户投诉高德地图酒店预定服务商资质不明</w:t>
      </w:r>
    </w:p>
    <w:p w14:paraId="2B426088" w14:textId="77777777" w:rsidR="00B43C4D" w:rsidRDefault="00B822D6">
      <w:pPr>
        <w:pStyle w:val="20"/>
        <w:spacing w:before="156"/>
        <w:rPr>
          <w:rFonts w:hint="default"/>
        </w:rPr>
      </w:pPr>
      <w:r>
        <w:lastRenderedPageBreak/>
        <w:t>6月9日，内蒙古自治区的霍女士向“电诉宝”投诉称，</w:t>
      </w:r>
      <w:bookmarkStart w:id="17" w:name="OLE_LINK3"/>
      <w:r>
        <w:t>其通过高德地图平台预订海拉尔某酒店，原定6月10日入住，后因行程变动申请退款。</w:t>
      </w:r>
    </w:p>
    <w:p w14:paraId="2C7DFB1A" w14:textId="77777777" w:rsidR="00B43C4D" w:rsidRDefault="00B822D6">
      <w:pPr>
        <w:pStyle w:val="20"/>
        <w:spacing w:before="156"/>
        <w:rPr>
          <w:rFonts w:hint="default"/>
        </w:rPr>
      </w:pPr>
      <w:r>
        <w:t>然而，高德平台与酒店方互相推诿，均拒绝履行退款义务，涉嫌违反《消费者权益保护法》及《电子商务法》相关规定。用户保留与平台及酒店的全部通话录音作为证据，平台仅以“提供优惠券”搪塞，未采取有效监管措施，放任服务商侵害消费者权益。</w:t>
      </w:r>
    </w:p>
    <w:p w14:paraId="7816E909" w14:textId="77777777" w:rsidR="00B43C4D" w:rsidRDefault="00B822D6">
      <w:pPr>
        <w:pStyle w:val="20"/>
        <w:spacing w:before="156"/>
        <w:rPr>
          <w:rFonts w:hint="default"/>
        </w:rPr>
      </w:pPr>
      <w:r>
        <w:t>此外，用户询问客服专员该酒店服务商是否具备相关资质及证照号码，客服明确回复“没有”，证实平台对入驻服务商资质审核存在严重缺失。用户要求高德平台全额退款，并整改服务商准入机制，保障消费者合法权益。</w:t>
      </w:r>
    </w:p>
    <w:p w14:paraId="21F7013F" w14:textId="77777777" w:rsidR="00B43C4D" w:rsidRDefault="00B822D6">
      <w:pPr>
        <w:pStyle w:val="20"/>
        <w:spacing w:before="156"/>
        <w:ind w:firstLine="482"/>
        <w:rPr>
          <w:rFonts w:hint="default"/>
          <w:b/>
          <w:bCs/>
        </w:rPr>
      </w:pPr>
      <w:r>
        <w:rPr>
          <w:b/>
          <w:bCs/>
        </w:rPr>
        <w:t>【案例十】</w:t>
      </w:r>
      <w:bookmarkEnd w:id="17"/>
      <w:r>
        <w:rPr>
          <w:b/>
          <w:bCs/>
        </w:rPr>
        <w:t>T3出行擅自变更车型致费用翻倍 用户要求退还差价</w:t>
      </w:r>
    </w:p>
    <w:p w14:paraId="1BF794D9" w14:textId="77777777" w:rsidR="00B43C4D" w:rsidRDefault="00B822D6">
      <w:pPr>
        <w:pStyle w:val="20"/>
        <w:spacing w:before="156"/>
        <w:rPr>
          <w:rFonts w:hint="default"/>
        </w:rPr>
      </w:pPr>
      <w:r>
        <w:t>6月13日，上海市刘先生向“电诉宝”投诉称其通过T3出行APP预约网约车服务，明确选择特享车型（预估38元），但平台在未告知或征得同意的情况下，自动勾选其他高价车型，导致实际扣款100元，远超原预估价格。</w:t>
      </w:r>
    </w:p>
    <w:p w14:paraId="0415FCD6" w14:textId="77777777" w:rsidR="00B43C4D" w:rsidRDefault="00B822D6">
      <w:pPr>
        <w:pStyle w:val="20"/>
        <w:spacing w:before="156"/>
        <w:rPr>
          <w:rFonts w:hint="default"/>
        </w:rPr>
      </w:pPr>
      <w:r>
        <w:t>消费者认为，该行为侵犯了知情权与选择权，涉嫌变相加价或诱导消费。目前，消费者已向T3出行提出两项诉求：1. 退还差价62元（100元-38元）；2. 说明系统自动勾选高价车型的原因，并承诺整改类似问题。</w:t>
      </w:r>
    </w:p>
    <w:p w14:paraId="5A915377" w14:textId="77777777" w:rsidR="00B43C4D" w:rsidRDefault="00B822D6">
      <w:pPr>
        <w:pStyle w:val="10"/>
        <w:rPr>
          <w:rFonts w:hint="default"/>
        </w:rPr>
      </w:pPr>
      <w:bookmarkStart w:id="18" w:name="_Toc15181"/>
      <w:r>
        <w:rPr>
          <w:rFonts w:ascii="宋体" w:eastAsia="宋体" w:hAnsi="宋体" w:cs="宋体"/>
          <w:b w:val="0"/>
          <w:bCs w:val="0"/>
          <w:color w:val="000000" w:themeColor="text1"/>
          <w:sz w:val="24"/>
          <w:szCs w:val="24"/>
        </w:rPr>
        <w:t>（</w:t>
      </w:r>
      <w:r>
        <w:t>三）数字教育数据与十大典型案例</w:t>
      </w:r>
      <w:bookmarkEnd w:id="18"/>
    </w:p>
    <w:p w14:paraId="143BDF24" w14:textId="77777777" w:rsidR="00B43C4D" w:rsidRDefault="00B822D6">
      <w:pPr>
        <w:pStyle w:val="20"/>
        <w:spacing w:before="156"/>
        <w:ind w:firstLine="562"/>
        <w:rPr>
          <w:rFonts w:hint="default"/>
          <w:b/>
          <w:bCs/>
          <w:sz w:val="28"/>
          <w:szCs w:val="28"/>
        </w:rPr>
      </w:pPr>
      <w:r>
        <w:rPr>
          <w:b/>
          <w:bCs/>
          <w:sz w:val="28"/>
          <w:szCs w:val="28"/>
        </w:rPr>
        <w:t>数字教育上榜平台</w:t>
      </w:r>
      <w:r>
        <w:rPr>
          <w:rFonts w:hint="default"/>
          <w:b/>
          <w:bCs/>
          <w:sz w:val="28"/>
          <w:szCs w:val="28"/>
        </w:rPr>
        <w:t>10</w:t>
      </w:r>
      <w:r>
        <w:rPr>
          <w:b/>
          <w:bCs/>
          <w:sz w:val="28"/>
          <w:szCs w:val="28"/>
        </w:rPr>
        <w:t>家</w:t>
      </w:r>
      <w:r>
        <w:rPr>
          <w:rFonts w:hint="default"/>
          <w:b/>
          <w:bCs/>
          <w:sz w:val="28"/>
          <w:szCs w:val="28"/>
        </w:rPr>
        <w:t xml:space="preserve"> </w:t>
      </w:r>
    </w:p>
    <w:p w14:paraId="57EC1290" w14:textId="77777777" w:rsidR="00B43C4D" w:rsidRDefault="00B822D6">
      <w:pPr>
        <w:pStyle w:val="20"/>
        <w:spacing w:before="156"/>
        <w:rPr>
          <w:rFonts w:hint="default"/>
        </w:rPr>
      </w:pPr>
      <w:r>
        <w:t>投诉量</w:t>
      </w:r>
      <w:r>
        <w:rPr>
          <w:b/>
          <w:bCs/>
        </w:rPr>
        <w:t>TOP10</w:t>
      </w:r>
      <w:r>
        <w:t>依次为：一只船教育、帮考网、常青藤爸爸、VIPKID、网易云课堂、芸学教育、沪江网校、聚才木羽、尚德机构、中安建培；</w:t>
      </w:r>
    </w:p>
    <w:p w14:paraId="1690F7C8" w14:textId="27BC6362" w:rsidR="00B43C4D" w:rsidRDefault="00352D0D">
      <w:pPr>
        <w:jc w:val="center"/>
      </w:pPr>
      <w:r>
        <w:rPr>
          <w:noProof/>
        </w:rPr>
        <w:lastRenderedPageBreak/>
        <w:drawing>
          <wp:inline distT="0" distB="0" distL="0" distR="0" wp14:anchorId="013D5D87" wp14:editId="3861B26E">
            <wp:extent cx="5274310" cy="34817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481705"/>
                    </a:xfrm>
                    <a:prstGeom prst="rect">
                      <a:avLst/>
                    </a:prstGeom>
                  </pic:spPr>
                </pic:pic>
              </a:graphicData>
            </a:graphic>
          </wp:inline>
        </w:drawing>
      </w:r>
    </w:p>
    <w:p w14:paraId="527E627C" w14:textId="77777777" w:rsidR="00B43C4D" w:rsidRDefault="00B822D6">
      <w:pPr>
        <w:pStyle w:val="20"/>
        <w:spacing w:before="156"/>
        <w:rPr>
          <w:rFonts w:hint="default"/>
        </w:rPr>
      </w:pPr>
      <w:r>
        <w:t>在数字教育消费领域，据“电诉宝”受理用户维权案例，我们从中选取十大典型投诉案例，涉及</w:t>
      </w:r>
      <w:r>
        <w:rPr>
          <w:b/>
          <w:bCs/>
        </w:rPr>
        <w:t>一只船教育、帮考网、常青藤爸爸、VIPKID、网易云课堂、芸学教育、沪江网校、聚才木羽、尚德机构、中安建培</w:t>
      </w:r>
      <w:r>
        <w:t>。</w:t>
      </w:r>
    </w:p>
    <w:p w14:paraId="55951D0A" w14:textId="77777777" w:rsidR="00B43C4D" w:rsidRDefault="00B822D6">
      <w:pPr>
        <w:pStyle w:val="20"/>
        <w:spacing w:before="156"/>
        <w:ind w:firstLineChars="0" w:firstLine="0"/>
        <w:jc w:val="center"/>
        <w:rPr>
          <w:rFonts w:hint="default"/>
          <w:b/>
          <w:bCs/>
        </w:rPr>
      </w:pPr>
      <w:r>
        <w:rPr>
          <w:noProof/>
        </w:rPr>
        <w:drawing>
          <wp:inline distT="0" distB="0" distL="114300" distR="114300" wp14:anchorId="5C3FFF95" wp14:editId="1E3CE906">
            <wp:extent cx="5268595" cy="3898900"/>
            <wp:effectExtent l="0" t="0" r="190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5"/>
                    <a:stretch>
                      <a:fillRect/>
                    </a:stretch>
                  </pic:blipFill>
                  <pic:spPr>
                    <a:xfrm>
                      <a:off x="0" y="0"/>
                      <a:ext cx="5268595" cy="3898900"/>
                    </a:xfrm>
                    <a:prstGeom prst="rect">
                      <a:avLst/>
                    </a:prstGeom>
                    <a:noFill/>
                    <a:ln>
                      <a:noFill/>
                    </a:ln>
                  </pic:spPr>
                </pic:pic>
              </a:graphicData>
            </a:graphic>
          </wp:inline>
        </w:drawing>
      </w:r>
    </w:p>
    <w:p w14:paraId="5487FB59" w14:textId="77777777" w:rsidR="00B43C4D" w:rsidRDefault="00B822D6">
      <w:pPr>
        <w:pStyle w:val="20"/>
        <w:spacing w:before="156"/>
        <w:ind w:firstLine="482"/>
        <w:rPr>
          <w:rFonts w:hint="default"/>
          <w:b/>
          <w:bCs/>
        </w:rPr>
      </w:pPr>
      <w:r>
        <w:rPr>
          <w:b/>
          <w:bCs/>
        </w:rPr>
        <w:lastRenderedPageBreak/>
        <w:t>【案例一】"包过班"变"套路班"！用户投诉一只船教育虚假宣传拒退费</w:t>
      </w:r>
    </w:p>
    <w:p w14:paraId="7FC262B0" w14:textId="77777777" w:rsidR="00B43C4D" w:rsidRDefault="00B822D6">
      <w:pPr>
        <w:pStyle w:val="20"/>
        <w:spacing w:before="156"/>
        <w:rPr>
          <w:rFonts w:hint="default"/>
        </w:rPr>
      </w:pPr>
      <w:r>
        <w:t>6</w:t>
      </w:r>
      <w:r>
        <w:rPr>
          <w:rFonts w:hint="default"/>
        </w:rPr>
        <w:t>月</w:t>
      </w:r>
      <w:r>
        <w:t>3</w:t>
      </w:r>
      <w:r>
        <w:rPr>
          <w:rFonts w:hint="default"/>
        </w:rPr>
        <w:t>日，</w:t>
      </w:r>
      <w:r>
        <w:t>吉林</w:t>
      </w:r>
      <w:r>
        <w:rPr>
          <w:rFonts w:hint="default"/>
        </w:rPr>
        <w:t>省的</w:t>
      </w:r>
      <w:r>
        <w:t>丁女士</w:t>
      </w:r>
      <w:r>
        <w:rPr>
          <w:rFonts w:hint="default"/>
        </w:rPr>
        <w:t>向“电诉宝”投诉称</w:t>
      </w:r>
      <w:r>
        <w:t>其</w:t>
      </w:r>
      <w:r>
        <w:rPr>
          <w:rFonts w:hint="default"/>
        </w:rPr>
        <w:t>通过网络接触"一只船教育"培训机构，销售人员以"消防证书易考、挂靠年入30万"为诱饵，诱导其先后通过花呗支付3180元培训费和4000元VIP升级费。机构承诺"考试包过，不过退费"，但用户最终未能通过考试。</w:t>
      </w:r>
    </w:p>
    <w:p w14:paraId="5F510694" w14:textId="77777777" w:rsidR="00B43C4D" w:rsidRDefault="00B822D6">
      <w:pPr>
        <w:pStyle w:val="20"/>
        <w:spacing w:before="156"/>
        <w:rPr>
          <w:rFonts w:hint="default"/>
        </w:rPr>
      </w:pPr>
      <w:r>
        <w:rPr>
          <w:rFonts w:hint="default"/>
        </w:rPr>
        <w:t>经多次沟通，机构以各种理由推脱，拒不履行退费承诺。用户提供的聊天记录证实，销售人员存在"高额挂靠回报"、"保过承诺"等违规宣传行为。目前用户要求机构退还全部7180元费用。</w:t>
      </w:r>
    </w:p>
    <w:p w14:paraId="4276335B" w14:textId="77777777" w:rsidR="00B43C4D" w:rsidRDefault="00B822D6">
      <w:pPr>
        <w:pStyle w:val="20"/>
        <w:spacing w:before="156"/>
        <w:ind w:firstLine="482"/>
        <w:rPr>
          <w:rFonts w:hint="default"/>
          <w:b/>
          <w:bCs/>
        </w:rPr>
      </w:pPr>
      <w:r>
        <w:rPr>
          <w:b/>
          <w:bCs/>
        </w:rPr>
        <w:t>【案例二】"承诺重修变卦"！用户投诉帮考网擅自修改订单内容拒退费</w:t>
      </w:r>
    </w:p>
    <w:p w14:paraId="4B9D10DC" w14:textId="77777777" w:rsidR="00B43C4D" w:rsidRDefault="00B822D6">
      <w:pPr>
        <w:pStyle w:val="20"/>
        <w:spacing w:before="156"/>
        <w:rPr>
          <w:rFonts w:hint="default"/>
        </w:rPr>
      </w:pPr>
      <w:r>
        <w:t>6月17日，浙江省王女士向“电诉宝”投诉称其购买帮考网孙超凡主讲的"押题大招课"，销售人员明确承诺"两年内免费重修"。2025年用户申请重修时，客服却改口称"仅限全程课程重修，押题课不包含在内"。用户发现平台擅自修改订单内容，将"押题课"标注为"赠送课程"，而实际收费的"全程课"并非用户所需。用户提供的购买记录显示，平台存在擅自变更服务条款的违规行为。</w:t>
      </w:r>
    </w:p>
    <w:p w14:paraId="639CA9DA" w14:textId="77777777" w:rsidR="00B43C4D" w:rsidRDefault="00B822D6">
      <w:pPr>
        <w:pStyle w:val="20"/>
        <w:spacing w:before="156"/>
        <w:rPr>
          <w:rFonts w:hint="default"/>
        </w:rPr>
      </w:pPr>
      <w:r>
        <w:t>课程已失去时效性，用户要求退还一半费用740元，并呼吁监管部门对网课平台此类欺诈行为进行整治。</w:t>
      </w:r>
    </w:p>
    <w:p w14:paraId="0C2CF98C" w14:textId="77777777" w:rsidR="00B43C4D" w:rsidRDefault="00B822D6">
      <w:pPr>
        <w:pStyle w:val="20"/>
        <w:spacing w:before="156"/>
        <w:ind w:firstLine="482"/>
        <w:rPr>
          <w:rFonts w:hint="default"/>
          <w:b/>
          <w:bCs/>
        </w:rPr>
      </w:pPr>
      <w:r>
        <w:rPr>
          <w:b/>
          <w:bCs/>
        </w:rPr>
        <w:t>【案例三】"打卡返现"变"无限期排队"？用户投诉常青藤爸爸拖延兑现奖励</w:t>
      </w:r>
    </w:p>
    <w:p w14:paraId="346E322C" w14:textId="77777777" w:rsidR="00B43C4D" w:rsidRDefault="00B822D6">
      <w:pPr>
        <w:pStyle w:val="20"/>
        <w:spacing w:before="156"/>
        <w:rPr>
          <w:rFonts w:hint="default"/>
        </w:rPr>
      </w:pPr>
      <w:r>
        <w:t>6</w:t>
      </w:r>
      <w:r>
        <w:rPr>
          <w:rFonts w:hint="default"/>
        </w:rPr>
        <w:t>月</w:t>
      </w:r>
      <w:r>
        <w:t>26</w:t>
      </w:r>
      <w:r>
        <w:rPr>
          <w:rFonts w:hint="default"/>
        </w:rPr>
        <w:t>日，</w:t>
      </w:r>
      <w:hyperlink r:id="rId36" w:tgtFrame="https://www.100ec.cn/_blank" w:history="1">
        <w:r>
          <w:rPr>
            <w:rStyle w:val="ab"/>
            <w:rFonts w:ascii="Arial" w:hAnsi="Arial" w:cs="Arial" w:hint="default"/>
            <w:color w:val="337AB7"/>
            <w:u w:val="none"/>
            <w:shd w:val="clear" w:color="auto" w:fill="FFFFFF"/>
          </w:rPr>
          <w:t>上海</w:t>
        </w:r>
      </w:hyperlink>
      <w:r>
        <w:rPr>
          <w:rFonts w:hint="default"/>
        </w:rPr>
        <w:t>市的</w:t>
      </w:r>
      <w:r>
        <w:t>栗女士向“电诉宝”投诉称其参与常青藤爸爸App的"打卡返现"活动，累计应获返现1204元。然而三年多过去，平台以"排队返现"为由迟迟未兑现承诺，且排队进度长期停滞。</w:t>
      </w:r>
    </w:p>
    <w:p w14:paraId="02879250" w14:textId="77777777" w:rsidR="00B43C4D" w:rsidRDefault="00B822D6">
      <w:pPr>
        <w:pStyle w:val="20"/>
        <w:spacing w:before="156"/>
        <w:rPr>
          <w:rFonts w:hint="default"/>
        </w:rPr>
      </w:pPr>
      <w:r>
        <w:t>用户认为该行为涉嫌虚假宣传、欺骗消费者，要求平台立即将1204元返现支付至指定账户。据了解，类似投诉在该平台并非个例，多名用户反映遭遇相同拖延问题，质疑平台"排队机制"实为拒绝兑现的借口。消费者呼吁监管部门介入调查此类"虚假返现"营销乱象。</w:t>
      </w:r>
    </w:p>
    <w:p w14:paraId="2604AFC0" w14:textId="77777777" w:rsidR="00B43C4D" w:rsidRDefault="00B822D6">
      <w:pPr>
        <w:pStyle w:val="20"/>
        <w:spacing w:before="156"/>
        <w:ind w:firstLine="482"/>
        <w:rPr>
          <w:rFonts w:hint="default"/>
          <w:b/>
          <w:bCs/>
        </w:rPr>
      </w:pPr>
      <w:r>
        <w:rPr>
          <w:b/>
          <w:bCs/>
        </w:rPr>
        <w:t>【案例四】VIPKID拖延退款被指欺诈 家长要求退还学费</w:t>
      </w:r>
    </w:p>
    <w:p w14:paraId="1CD7246F" w14:textId="77777777" w:rsidR="00B43C4D" w:rsidRDefault="00B822D6">
      <w:pPr>
        <w:pStyle w:val="20"/>
        <w:spacing w:before="156"/>
        <w:rPr>
          <w:rFonts w:hint="default"/>
        </w:rPr>
      </w:pPr>
      <w:r>
        <w:lastRenderedPageBreak/>
        <w:t>6月15日，内蒙古自治区张先生向“电诉宝”投诉称其在VIPKID平台支付1659美元为孩子报名英语课程，但平台迟迟未通知开班。直至5月26日询问后，才被告知因教师个人原因无法开课。</w:t>
      </w:r>
    </w:p>
    <w:p w14:paraId="049D6BFA" w14:textId="77777777" w:rsidR="00B43C4D" w:rsidRDefault="00B822D6">
      <w:pPr>
        <w:pStyle w:val="20"/>
        <w:spacing w:before="156"/>
        <w:rPr>
          <w:rFonts w:hint="default"/>
        </w:rPr>
      </w:pPr>
      <w:r>
        <w:t>消费者随即申请退款，客服承诺5-7个工作日处理完毕，但截至6月11日，平台仍以“需走流程”为由拖延退款，未给出具体时间表。消费者质疑VIPKID涉嫌欺诈，既未履行教学承诺，又无理拖延退款流程，要求平台立即退还全额费用并整改服务机制。</w:t>
      </w:r>
    </w:p>
    <w:p w14:paraId="26440B65" w14:textId="77777777" w:rsidR="00B43C4D" w:rsidRDefault="00B822D6">
      <w:pPr>
        <w:pStyle w:val="20"/>
        <w:spacing w:before="156"/>
        <w:ind w:firstLine="482"/>
        <w:rPr>
          <w:rFonts w:hint="default"/>
          <w:b/>
          <w:bCs/>
        </w:rPr>
      </w:pPr>
      <w:r>
        <w:rPr>
          <w:b/>
          <w:bCs/>
        </w:rPr>
        <w:t>【案例五】"一次性付费陷阱"！用户投诉网易云课堂隐瞒课程时限涉嫌欺诈</w:t>
      </w:r>
    </w:p>
    <w:p w14:paraId="1B75F6AA" w14:textId="77777777" w:rsidR="00B43C4D" w:rsidRDefault="00B822D6">
      <w:pPr>
        <w:pStyle w:val="20"/>
        <w:spacing w:before="156"/>
        <w:rPr>
          <w:rFonts w:hint="default"/>
        </w:rPr>
      </w:pPr>
      <w:r>
        <w:t>6月9日，河南省的李女士向“电诉宝”投诉称其通过抖音广告被引流至网易云课堂，在支付一次性课程费用后，平台未明确告知学习时限。用户在未完成学习的情况下，突然发现课程被强制终止。用户称网易云课堂虽在后台可查看学员学习进度，却从未主动提醒课程有效期，事后仅以"已告知时限"为由推卸责任。目前相关抖音商家已下架产品失联，网易云课堂将责任推给第三方，却拒绝为未完成学习的学员开放课程或退款。</w:t>
      </w:r>
    </w:p>
    <w:p w14:paraId="17848A7D" w14:textId="77777777" w:rsidR="00B43C4D" w:rsidRDefault="00B822D6">
      <w:pPr>
        <w:pStyle w:val="20"/>
        <w:spacing w:before="156"/>
        <w:rPr>
          <w:rFonts w:hint="default"/>
        </w:rPr>
      </w:pPr>
      <w:r>
        <w:t>用户质疑平台设置"一次性付费+隐性时限"的霸王条款，涉嫌欺诈性营销，要求退还课程费用并整改运营模式。</w:t>
      </w:r>
    </w:p>
    <w:p w14:paraId="52C18FC3" w14:textId="77777777" w:rsidR="00B43C4D" w:rsidRDefault="00B822D6">
      <w:pPr>
        <w:pStyle w:val="20"/>
        <w:spacing w:before="156"/>
        <w:ind w:firstLineChars="0" w:firstLine="0"/>
        <w:rPr>
          <w:rFonts w:hint="default"/>
          <w:b/>
          <w:bCs/>
        </w:rPr>
      </w:pPr>
      <w:r>
        <w:rPr>
          <w:b/>
          <w:bCs/>
        </w:rPr>
        <w:t>【案例六】"包过承诺"变"维权难题"！用户投诉尚德机构虚假宣传拒退学费</w:t>
      </w:r>
    </w:p>
    <w:p w14:paraId="66B50813" w14:textId="77777777" w:rsidR="00B43C4D" w:rsidRDefault="00B822D6">
      <w:pPr>
        <w:pStyle w:val="20"/>
        <w:spacing w:before="156"/>
        <w:rPr>
          <w:rFonts w:hint="default"/>
        </w:rPr>
      </w:pPr>
      <w:r>
        <w:t>6月1日，河南省张先生向“电诉宝”投诉称其在尚德机构支付10980元报名"MEM考研协议班"，机构承诺"限时优惠""考试包过"，但实际课程质量低劣、师资频繁更换，且未提供考试安排等服务。消费者提供的证据显示，合同收款方（北京尚德）与签约主体（武汉尚德）不符，平台既未开具发票，又涉嫌泄露个人信息，致使其频繁遭遇骚扰。</w:t>
      </w:r>
    </w:p>
    <w:p w14:paraId="4A03B1BE" w14:textId="77777777" w:rsidR="00B43C4D" w:rsidRDefault="00B822D6">
      <w:pPr>
        <w:pStyle w:val="20"/>
        <w:spacing w:before="156"/>
        <w:rPr>
          <w:rFonts w:hint="default"/>
        </w:rPr>
      </w:pPr>
      <w:r>
        <w:t>尽管合同约定服务期至2025年11月，但课程自2022年9月冻结后一直未恢复，平台以"超七天不退费"等霸王条款拒绝退款。目前，消费者已依据《消费者权益保护法》等法律法规提出申诉，要求全额退还学费，并呼吁监管部门彻查</w:t>
      </w:r>
      <w:r>
        <w:lastRenderedPageBreak/>
        <w:t>该机构违规行为</w:t>
      </w:r>
    </w:p>
    <w:p w14:paraId="0AC6B4FF" w14:textId="77777777" w:rsidR="00B43C4D" w:rsidRDefault="00B822D6">
      <w:pPr>
        <w:pStyle w:val="20"/>
        <w:spacing w:before="156"/>
        <w:ind w:firstLineChars="0" w:firstLine="0"/>
        <w:rPr>
          <w:rFonts w:hint="default"/>
          <w:b/>
          <w:bCs/>
        </w:rPr>
      </w:pPr>
      <w:bookmarkStart w:id="19" w:name="OLE_LINK1"/>
      <w:r>
        <w:rPr>
          <w:b/>
          <w:bCs/>
        </w:rPr>
        <w:t>【案例七】</w:t>
      </w:r>
      <w:bookmarkEnd w:id="19"/>
      <w:r>
        <w:rPr>
          <w:b/>
          <w:bCs/>
        </w:rPr>
        <w:t>"七天无理由退款"成空谈？学员投诉沪江网校失联拒退学费</w:t>
      </w:r>
    </w:p>
    <w:p w14:paraId="041A4E7E" w14:textId="77777777" w:rsidR="00B43C4D" w:rsidRDefault="00B822D6">
      <w:pPr>
        <w:pStyle w:val="20"/>
        <w:spacing w:before="156"/>
        <w:rPr>
          <w:rFonts w:hint="default"/>
        </w:rPr>
      </w:pPr>
      <w:r>
        <w:t>6月4日，河北省的朱女士向“电诉宝”投诉称其在沪江网校支付2041.55元购买日语N3课程，仅学习两节后发现课程内容与宣传严重不符，遂于5月22日依据合同"七天无忧退款"条款申请退费。然而，售课人员拖延不处理，课程班主任仅回复"已提交流程"，后续再联系时，平台客服及班主任均失联。</w:t>
      </w:r>
    </w:p>
    <w:p w14:paraId="0041DF91" w14:textId="77777777" w:rsidR="00B43C4D" w:rsidRDefault="00B822D6">
      <w:pPr>
        <w:pStyle w:val="20"/>
        <w:spacing w:before="156"/>
        <w:rPr>
          <w:rFonts w:hint="default"/>
        </w:rPr>
      </w:pPr>
      <w:r>
        <w:t>消费者质疑沪江网校恶意规避退款责任，涉嫌违反《消费者权益保护法》第二十四条关于格式条款的规定</w:t>
      </w:r>
      <w:r>
        <w:rPr>
          <w:rFonts w:hint="default"/>
        </w:rPr>
        <w:t>。目前，消费者已向电诉宝平台投诉，要求沪江网校履行合同义务，全额退还学费。</w:t>
      </w:r>
    </w:p>
    <w:p w14:paraId="7A2A5C18" w14:textId="77777777" w:rsidR="00B43C4D" w:rsidRDefault="00B822D6">
      <w:pPr>
        <w:pStyle w:val="20"/>
        <w:spacing w:before="156"/>
        <w:ind w:firstLine="482"/>
        <w:rPr>
          <w:rFonts w:hint="default"/>
          <w:b/>
          <w:bCs/>
        </w:rPr>
      </w:pPr>
      <w:r>
        <w:rPr>
          <w:b/>
          <w:bCs/>
        </w:rPr>
        <w:t>【案例八】"考证包过"陷阱曝光！学员投诉中安建培虚假宣传克扣退费</w:t>
      </w:r>
    </w:p>
    <w:p w14:paraId="461BFB2F" w14:textId="77777777" w:rsidR="00B43C4D" w:rsidRDefault="00B822D6">
      <w:pPr>
        <w:pStyle w:val="20"/>
        <w:spacing w:before="156"/>
        <w:rPr>
          <w:rFonts w:hint="default"/>
        </w:rPr>
      </w:pPr>
      <w:r>
        <w:t>6月9日，河北省李先生向“电诉宝”投诉称其被中安建培以"备案费"名义诱导支付500元，后又缴纳6980元中级注册安全工程师培训费。次日申请退款时，机构先承诺可退3005元，最终却以各种理由拒绝退款。</w:t>
      </w:r>
    </w:p>
    <w:p w14:paraId="3A8002AE" w14:textId="77777777" w:rsidR="00B43C4D" w:rsidRDefault="00B822D6">
      <w:pPr>
        <w:pStyle w:val="20"/>
        <w:spacing w:before="156"/>
        <w:rPr>
          <w:rFonts w:hint="default"/>
        </w:rPr>
      </w:pPr>
      <w:r>
        <w:t>消费者提供的证据显示：1. 机构未提供任何课程服务；2. 退费过程无书面凭证，拒绝出具扣费明细；3. 合同条款模糊，涉嫌霸王条款；4. 通过虚假成功案例诱导报名，违反《广告法》第24条关于禁止"保证性承诺"的规定。目前消费者已向市场监管部门投诉，要求全额退还7480元费用。</w:t>
      </w:r>
    </w:p>
    <w:p w14:paraId="5BF3A76C" w14:textId="77777777" w:rsidR="00B43C4D" w:rsidRDefault="00B822D6">
      <w:pPr>
        <w:pStyle w:val="20"/>
        <w:spacing w:before="156"/>
        <w:ind w:firstLine="482"/>
        <w:rPr>
          <w:rFonts w:hint="default"/>
          <w:b/>
          <w:bCs/>
        </w:rPr>
      </w:pPr>
      <w:r>
        <w:rPr>
          <w:b/>
          <w:bCs/>
        </w:rPr>
        <w:t>【案例九】"包过骗局"再曝光！用户投诉聚才木羽教育虚假宣传拒退学费</w:t>
      </w:r>
    </w:p>
    <w:p w14:paraId="2D6ACEC0" w14:textId="77777777" w:rsidR="00B43C4D" w:rsidRDefault="00B822D6">
      <w:pPr>
        <w:pStyle w:val="20"/>
        <w:spacing w:before="156"/>
        <w:rPr>
          <w:rFonts w:hint="default"/>
        </w:rPr>
      </w:pPr>
      <w:r>
        <w:t>6月8日，广西壮族自治区李女士向“电诉宝”投诉称其在武汉聚才木羽教育有限公司花费近7000元报名"专科学历提升点睛班"，机构承诺"包过包拿证"。然而，消费者发现教材质量低劣（印刷模糊疑似盗版）、服务质量差，且机构频繁更换对接老师。</w:t>
      </w:r>
    </w:p>
    <w:p w14:paraId="758A6088" w14:textId="77777777" w:rsidR="00B43C4D" w:rsidRDefault="00B822D6">
      <w:pPr>
        <w:pStyle w:val="20"/>
        <w:spacing w:before="156"/>
        <w:rPr>
          <w:rFonts w:hint="default"/>
        </w:rPr>
      </w:pPr>
      <w:r>
        <w:t>申请退款后，平台以各种理由推诿，甚至涉嫌泄露用户信息——2025年6月，消费者接到冒充机构老师的诈骗电话，对方以"退费"为由实施诈骗。消费者提供的证据显示，聚才木羽存在虚假宣传（违反《广告法》第24条）、合同欺诈及个人信息泄露问题</w:t>
      </w:r>
      <w:r>
        <w:rPr>
          <w:rFonts w:hint="default"/>
        </w:rPr>
        <w:t>。目前消费者要求全额退还学费，并呼吁市场监管部门介</w:t>
      </w:r>
      <w:r>
        <w:rPr>
          <w:rFonts w:hint="default"/>
        </w:rPr>
        <w:lastRenderedPageBreak/>
        <w:t>入调查。</w:t>
      </w:r>
    </w:p>
    <w:p w14:paraId="58A637DE" w14:textId="77777777" w:rsidR="00B43C4D" w:rsidRDefault="00B822D6">
      <w:pPr>
        <w:pStyle w:val="20"/>
        <w:spacing w:before="156"/>
        <w:ind w:firstLine="482"/>
        <w:rPr>
          <w:rFonts w:hint="default"/>
          <w:b/>
          <w:bCs/>
        </w:rPr>
      </w:pPr>
      <w:r>
        <w:rPr>
          <w:b/>
          <w:bCs/>
        </w:rPr>
        <w:t>【案例十】芸学教育"退费陷阱"频发！用户遭遇"失联机构+诈骗连环套"</w:t>
      </w:r>
    </w:p>
    <w:p w14:paraId="7BBA203A" w14:textId="77777777" w:rsidR="00B43C4D" w:rsidRDefault="00B822D6">
      <w:pPr>
        <w:pStyle w:val="20"/>
        <w:spacing w:before="156"/>
        <w:rPr>
          <w:rFonts w:hint="default"/>
        </w:rPr>
      </w:pPr>
      <w:r>
        <w:t>6月13日，陕西省林女士向“电诉宝”投诉称其</w:t>
      </w:r>
      <w:r>
        <w:rPr>
          <w:rFonts w:hint="default"/>
        </w:rPr>
        <w:t>报名健康管理师培训后，机构既未安排考试，又失联推诿退费。近期更遭遇"退费诈骗"——陌生人通过QQ要求下载第三方平台操作退款，疑似信息被贩卖后的精准诈骗。</w:t>
      </w:r>
      <w:r>
        <w:t>用户</w:t>
      </w:r>
      <w:r>
        <w:rPr>
          <w:rFonts w:hint="default"/>
        </w:rPr>
        <w:t>提供的证据显示：1. 报名机构未履行考试承诺且失联；2. 诈骗分子以"官方退费"名义诱导下载高风险APP，手法与警方通报的"虚假债券增值退费"骗局高度相似；3. 个人报名信息疑遭泄露，频繁接到诈骗电话。</w:t>
      </w:r>
    </w:p>
    <w:p w14:paraId="2E735672" w14:textId="77777777" w:rsidR="00B43C4D" w:rsidRDefault="00B822D6">
      <w:pPr>
        <w:pStyle w:val="20"/>
        <w:spacing w:before="156"/>
        <w:rPr>
          <w:rFonts w:hint="default"/>
        </w:rPr>
      </w:pPr>
      <w:r>
        <w:rPr>
          <w:rFonts w:hint="default"/>
        </w:rPr>
        <w:t>目前，</w:t>
      </w:r>
      <w:r>
        <w:t>用户</w:t>
      </w:r>
      <w:r>
        <w:rPr>
          <w:rFonts w:hint="default"/>
        </w:rPr>
        <w:t>要求：1. 彻查培训机构违规行为；2. 追责信息泄露源头；3. 通过正规渠道办理退费。</w:t>
      </w:r>
    </w:p>
    <w:p w14:paraId="19C8132E" w14:textId="77777777" w:rsidR="00B43C4D" w:rsidRDefault="00B822D6">
      <w:pPr>
        <w:pStyle w:val="1"/>
        <w:numPr>
          <w:ilvl w:val="0"/>
          <w:numId w:val="1"/>
        </w:numPr>
        <w:rPr>
          <w:rFonts w:ascii="Cambria" w:hAnsi="Cambria"/>
          <w:bCs/>
          <w:kern w:val="2"/>
          <w:sz w:val="28"/>
          <w:szCs w:val="32"/>
        </w:rPr>
      </w:pPr>
      <w:bookmarkStart w:id="20" w:name="_Toc23431"/>
      <w:r>
        <w:rPr>
          <w:rFonts w:ascii="Cambria" w:hAnsi="Cambria" w:hint="eastAsia"/>
          <w:bCs/>
          <w:kern w:val="2"/>
          <w:sz w:val="28"/>
          <w:szCs w:val="32"/>
        </w:rPr>
        <w:t>关于我们</w:t>
      </w:r>
      <w:bookmarkEnd w:id="20"/>
    </w:p>
    <w:p w14:paraId="2B94954B" w14:textId="77777777" w:rsidR="00B43C4D" w:rsidRDefault="00B822D6">
      <w:pPr>
        <w:pStyle w:val="10"/>
        <w:numPr>
          <w:ilvl w:val="0"/>
          <w:numId w:val="3"/>
        </w:numPr>
        <w:rPr>
          <w:rFonts w:hint="default"/>
        </w:rPr>
      </w:pPr>
      <w:bookmarkStart w:id="21" w:name="_Toc3082"/>
      <w:r>
        <w:t>关于电诉宝</w:t>
      </w:r>
      <w:bookmarkEnd w:id="21"/>
    </w:p>
    <w:p w14:paraId="7E301FF4" w14:textId="77777777" w:rsidR="00B43C4D" w:rsidRDefault="00B822D6">
      <w:pPr>
        <w:spacing w:beforeLines="50" w:before="156" w:afterLines="50" w:after="156" w:line="360" w:lineRule="auto"/>
        <w:ind w:firstLineChars="200" w:firstLine="480"/>
      </w:pPr>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14F1A35B" w14:textId="77777777" w:rsidR="00B43C4D" w:rsidRDefault="00B822D6">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14:paraId="1514A2BE" w14:textId="77777777" w:rsidR="00B43C4D" w:rsidRDefault="00B822D6">
      <w:pPr>
        <w:pStyle w:val="20"/>
        <w:spacing w:before="156"/>
        <w:rPr>
          <w:rFonts w:hint="default"/>
        </w:rPr>
      </w:pPr>
      <w:r>
        <w:t>新平台于2018年315前夕正式上线运行。新系统实现“一键投诉”、24h在线、自助维权、同步直达、实时处理、进度查询、满意度评价、律师坐堂法律</w:t>
      </w:r>
      <w:r>
        <w:lastRenderedPageBreak/>
        <w:t>求助，还有大数据分析功能，真正实现了“天天315”，成为千千万万电商用户的“网购维权神器”。</w:t>
      </w:r>
    </w:p>
    <w:p w14:paraId="53B40DD7" w14:textId="77777777" w:rsidR="00B43C4D" w:rsidRDefault="00B822D6">
      <w:pPr>
        <w:spacing w:beforeLines="50" w:before="156" w:afterLines="50" w:after="156" w:line="360" w:lineRule="auto"/>
        <w:ind w:firstLineChars="200" w:firstLine="480"/>
      </w:pPr>
      <w:r>
        <w:rPr>
          <w:rFonts w:asciiTheme="minorEastAsia" w:hAnsiTheme="minorEastAsia" w:cstheme="minorEastAsia" w:hint="eastAsia"/>
          <w:sz w:val="24"/>
        </w:rPr>
        <w:t>此外，为了更好帮助电商平台更好的处理投诉。平台“绿色通道”服务向广大电商平台开放，电商可自主申请入驻，实时受理、反馈和查询用户满意度评价。</w:t>
      </w:r>
      <w:r>
        <w:rPr>
          <w:noProof/>
        </w:rPr>
        <w:drawing>
          <wp:inline distT="0" distB="0" distL="114300" distR="114300" wp14:anchorId="21C44241" wp14:editId="012E7E80">
            <wp:extent cx="5273675" cy="4140200"/>
            <wp:effectExtent l="0" t="0" r="317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7" cstate="print"/>
                    <a:stretch>
                      <a:fillRect/>
                    </a:stretch>
                  </pic:blipFill>
                  <pic:spPr>
                    <a:xfrm>
                      <a:off x="0" y="0"/>
                      <a:ext cx="5273675" cy="4140200"/>
                    </a:xfrm>
                    <a:prstGeom prst="rect">
                      <a:avLst/>
                    </a:prstGeom>
                    <a:noFill/>
                    <a:ln>
                      <a:noFill/>
                    </a:ln>
                  </pic:spPr>
                </pic:pic>
              </a:graphicData>
            </a:graphic>
          </wp:inline>
        </w:drawing>
      </w:r>
    </w:p>
    <w:p w14:paraId="3D83E180" w14:textId="77777777" w:rsidR="00B43C4D" w:rsidRDefault="00B822D6">
      <w:pPr>
        <w:spacing w:beforeLines="50" w:before="156" w:afterLines="50" w:after="156" w:line="360" w:lineRule="auto"/>
        <w:ind w:firstLineChars="200" w:firstLine="480"/>
      </w:pPr>
      <w:r>
        <w:rPr>
          <w:rFonts w:ascii="宋体" w:eastAsia="宋体" w:hAnsi="宋体" w:cs="宋体"/>
          <w:sz w:val="24"/>
        </w:rPr>
        <w:t>为了更好地营造公开、透明、健康的电商消费投诉环境，</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公开版于2020年7月1日正式上线，</w:t>
      </w:r>
      <w:r>
        <w:rPr>
          <w:rStyle w:val="aa"/>
          <w:rFonts w:ascii="宋体" w:eastAsia="宋体" w:hAnsi="宋体" w:cs="宋体"/>
          <w:sz w:val="24"/>
        </w:rPr>
        <w:t>新增用户投诉实时受理动态、月度平台投诉量TOP10、热点投诉地区</w:t>
      </w:r>
      <w:r>
        <w:rPr>
          <w:rFonts w:ascii="宋体" w:eastAsia="宋体" w:hAnsi="宋体" w:cs="宋体"/>
          <w:sz w:val="24"/>
        </w:rPr>
        <w:t>等模块，让投诉过程透明化，一手掌握信息动态。</w:t>
      </w:r>
      <w:r>
        <w:rPr>
          <w:noProof/>
        </w:rPr>
        <w:lastRenderedPageBreak/>
        <w:drawing>
          <wp:inline distT="0" distB="0" distL="114300" distR="114300" wp14:anchorId="6FB7A188" wp14:editId="72BCBE9D">
            <wp:extent cx="5269865" cy="4695190"/>
            <wp:effectExtent l="0" t="0" r="698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8" cstate="print"/>
                    <a:stretch>
                      <a:fillRect/>
                    </a:stretch>
                  </pic:blipFill>
                  <pic:spPr>
                    <a:xfrm>
                      <a:off x="0" y="0"/>
                      <a:ext cx="5269865" cy="4695190"/>
                    </a:xfrm>
                    <a:prstGeom prst="rect">
                      <a:avLst/>
                    </a:prstGeom>
                    <a:noFill/>
                    <a:ln>
                      <a:noFill/>
                    </a:ln>
                  </pic:spPr>
                </pic:pic>
              </a:graphicData>
            </a:graphic>
          </wp:inline>
        </w:drawing>
      </w:r>
    </w:p>
    <w:p w14:paraId="076EB0AA" w14:textId="77777777" w:rsidR="00B43C4D" w:rsidRDefault="00B822D6">
      <w:pPr>
        <w:pStyle w:val="2"/>
        <w:rPr>
          <w:rFonts w:asciiTheme="minorEastAsia" w:hAnsiTheme="minorEastAsia" w:cstheme="minorEastAsia"/>
          <w:szCs w:val="28"/>
        </w:rPr>
      </w:pPr>
      <w:bookmarkStart w:id="22" w:name="_Toc21023"/>
      <w:bookmarkStart w:id="23" w:name="_Toc4676"/>
      <w:bookmarkStart w:id="24" w:name="_Toc4507"/>
      <w:bookmarkStart w:id="25" w:name="_Toc2152"/>
      <w:bookmarkStart w:id="26" w:name="_Toc10161"/>
      <w:bookmarkStart w:id="27" w:name="_Toc32497"/>
      <w:bookmarkStart w:id="28" w:name="_Toc29763"/>
      <w:bookmarkStart w:id="29" w:name="_Toc26824"/>
      <w:bookmarkStart w:id="30" w:name="_Toc13799"/>
      <w:bookmarkStart w:id="31" w:name="_Toc14641"/>
      <w:bookmarkStart w:id="32" w:name="_Toc22876"/>
      <w:bookmarkStart w:id="33" w:name="_Toc11744"/>
      <w:bookmarkStart w:id="34" w:name="_Toc352"/>
      <w:bookmarkStart w:id="35" w:name="_Toc8999"/>
      <w:bookmarkStart w:id="36" w:name="_Toc28892"/>
      <w:bookmarkStart w:id="37" w:name="_Toc32176"/>
      <w:bookmarkStart w:id="38" w:name="_Toc10978"/>
      <w:bookmarkStart w:id="39" w:name="_Toc8017"/>
      <w:bookmarkStart w:id="40" w:name="_Toc102659529"/>
      <w:r>
        <w:rPr>
          <w:rFonts w:asciiTheme="minorEastAsia" w:hAnsiTheme="minorEastAsia" w:cstheme="minorEastAsia" w:hint="eastAsia"/>
          <w:szCs w:val="28"/>
        </w:rPr>
        <w:t>（二）关于网经社</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C7C0FF9" w14:textId="77777777" w:rsidR="00B43C4D" w:rsidRDefault="00B822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浙江网经社信息科技公司拥有18年历史，提供媒体平台、专业智库以及资源媒介三大服务，致力于打造大数据驱动的“中国领先的数字经济服务商”。</w:t>
      </w:r>
    </w:p>
    <w:p w14:paraId="7E7D8F5B" w14:textId="77777777" w:rsidR="00B43C4D" w:rsidRDefault="00B822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公司总部位于杭州，系国内唯一拥有A股上市公司背景的数字经济媒体、智库和平台，母公司在全国拥有30个分支机构，实力雄厚，是我国数字经济行业的见证者与推动者。</w:t>
      </w:r>
    </w:p>
    <w:p w14:paraId="31F19656" w14:textId="77777777" w:rsidR="00B43C4D" w:rsidRDefault="00B822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 xml:space="preserve">网经社在工信部、公安机关网站合法备案运行，服务客户覆盖各大互联网上市公司、独角兽，以及国家和各地政府部门，有口皆碑。 </w:t>
      </w:r>
    </w:p>
    <w:p w14:paraId="1C2139E3" w14:textId="77777777" w:rsidR="00B43C4D" w:rsidRDefault="00B822D6">
      <w:pPr>
        <w:spacing w:beforeLines="50" w:before="156"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数据墙：</w:t>
      </w:r>
    </w:p>
    <w:p w14:paraId="41B6685F" w14:textId="77777777" w:rsidR="00B43C4D" w:rsidRDefault="00B822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lastRenderedPageBreak/>
        <w:t>拥有</w:t>
      </w:r>
      <w:r>
        <w:rPr>
          <w:rFonts w:asciiTheme="minorEastAsia" w:hAnsiTheme="minorEastAsia" w:cstheme="minorEastAsia" w:hint="eastAsia"/>
          <w:b/>
          <w:sz w:val="24"/>
        </w:rPr>
        <w:t>100+专业频道</w:t>
      </w:r>
      <w:r>
        <w:rPr>
          <w:rFonts w:asciiTheme="minorEastAsia" w:hAnsiTheme="minorEastAsia" w:cstheme="minorEastAsia" w:hint="eastAsia"/>
          <w:sz w:val="24"/>
        </w:rPr>
        <w:t>，为全国用户提供全面、及时、专业的资讯，是国内领先的数字经济门户。</w:t>
      </w:r>
    </w:p>
    <w:p w14:paraId="0DCED31D" w14:textId="77777777" w:rsidR="00B43C4D" w:rsidRDefault="00B822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平均每年有</w:t>
      </w:r>
      <w:r>
        <w:rPr>
          <w:rFonts w:asciiTheme="minorEastAsia" w:hAnsiTheme="minorEastAsia" w:cstheme="minorEastAsia" w:hint="eastAsia"/>
          <w:b/>
          <w:sz w:val="24"/>
        </w:rPr>
        <w:t>5000余</w:t>
      </w:r>
      <w:r>
        <w:rPr>
          <w:rFonts w:asciiTheme="minorEastAsia" w:hAnsiTheme="minorEastAsia" w:cstheme="minorEastAsia" w:hint="eastAsia"/>
          <w:sz w:val="24"/>
        </w:rPr>
        <w:t>家海内外媒体，超过</w:t>
      </w:r>
      <w:r>
        <w:rPr>
          <w:rFonts w:asciiTheme="minorEastAsia" w:hAnsiTheme="minorEastAsia" w:cstheme="minorEastAsia" w:hint="eastAsia"/>
          <w:b/>
          <w:sz w:val="24"/>
        </w:rPr>
        <w:t>10万</w:t>
      </w:r>
      <w:r>
        <w:rPr>
          <w:rFonts w:asciiTheme="minorEastAsia" w:hAnsiTheme="minorEastAsia" w:cstheme="minorEastAsia" w:hint="eastAsia"/>
          <w:sz w:val="24"/>
        </w:rPr>
        <w:t>篇新闻报道中引用我们的数据、报告、分析、榜单等从中央到地方，为超过</w:t>
      </w:r>
      <w:r>
        <w:rPr>
          <w:rFonts w:asciiTheme="minorEastAsia" w:hAnsiTheme="minorEastAsia" w:cstheme="minorEastAsia" w:hint="eastAsia"/>
          <w:b/>
          <w:sz w:val="24"/>
        </w:rPr>
        <w:t>200家</w:t>
      </w:r>
      <w:r>
        <w:rPr>
          <w:rFonts w:asciiTheme="minorEastAsia" w:hAnsiTheme="minorEastAsia" w:cstheme="minorEastAsia" w:hint="eastAsia"/>
          <w:sz w:val="24"/>
        </w:rPr>
        <w:t>各级政府部门提供了相关服务。</w:t>
      </w:r>
    </w:p>
    <w:p w14:paraId="5285C7C4" w14:textId="77777777" w:rsidR="00B43C4D" w:rsidRDefault="00B822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20000家</w:t>
      </w:r>
      <w:r>
        <w:rPr>
          <w:rFonts w:asciiTheme="minorEastAsia" w:hAnsiTheme="minorEastAsia" w:cstheme="minorEastAsia" w:hint="eastAsia"/>
          <w:sz w:val="24"/>
        </w:rPr>
        <w:t>公司在海内外及投融资时，参考使用我们数据分析。</w:t>
      </w:r>
    </w:p>
    <w:p w14:paraId="714D87F0" w14:textId="77777777" w:rsidR="00B43C4D" w:rsidRDefault="00B822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平均每年，超过</w:t>
      </w:r>
      <w:r>
        <w:rPr>
          <w:rFonts w:asciiTheme="minorEastAsia" w:hAnsiTheme="minorEastAsia" w:cstheme="minorEastAsia" w:hint="eastAsia"/>
          <w:b/>
          <w:sz w:val="24"/>
        </w:rPr>
        <w:t>10万</w:t>
      </w:r>
      <w:r>
        <w:rPr>
          <w:rFonts w:asciiTheme="minorEastAsia" w:hAnsiTheme="minorEastAsia" w:cstheme="minorEastAsia" w:hint="eastAsia"/>
          <w:sz w:val="24"/>
        </w:rPr>
        <w:t>人参加我们主办或协办、演讲的数字经济论坛、沙龙活动，覆盖人群规模超百万。</w:t>
      </w:r>
    </w:p>
    <w:p w14:paraId="4664E4F1" w14:textId="77777777" w:rsidR="00B43C4D" w:rsidRDefault="00B822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国内上百家券商/基金/投行/机构在投资研究中参考我们的数据和推荐</w:t>
      </w:r>
    </w:p>
    <w:p w14:paraId="27AFDAFA" w14:textId="77777777" w:rsidR="00B43C4D" w:rsidRDefault="00B822D6">
      <w:pPr>
        <w:pStyle w:val="a7"/>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1000+家</w:t>
      </w:r>
      <w:r>
        <w:rPr>
          <w:rFonts w:asciiTheme="minorEastAsia" w:hAnsiTheme="minorEastAsia" w:cstheme="minorEastAsia" w:hint="eastAsia"/>
          <w:sz w:val="24"/>
        </w:rPr>
        <w:t>电商、</w:t>
      </w:r>
      <w:r>
        <w:rPr>
          <w:rFonts w:asciiTheme="minorEastAsia" w:hAnsiTheme="minorEastAsia" w:cstheme="minorEastAsia" w:hint="eastAsia"/>
          <w:b/>
          <w:sz w:val="24"/>
        </w:rPr>
        <w:t>10000+家</w:t>
      </w:r>
      <w:r>
        <w:rPr>
          <w:rFonts w:asciiTheme="minorEastAsia" w:hAnsiTheme="minorEastAsia" w:cstheme="minorEastAsia" w:hint="eastAsia"/>
          <w:sz w:val="24"/>
        </w:rPr>
        <w:t>数字经济企业依靠我们的信息、服务和解决方案不同程度提升了他们的经营业绩。</w:t>
      </w:r>
    </w:p>
    <w:p w14:paraId="2070721A" w14:textId="36448661" w:rsidR="00B43C4D" w:rsidRDefault="00B822D6">
      <w:pPr>
        <w:widowControl/>
        <w:spacing w:beforeLines="50" w:before="156" w:line="360" w:lineRule="auto"/>
        <w:ind w:firstLine="480"/>
        <w:jc w:val="left"/>
        <w:rPr>
          <w:rFonts w:ascii="宋体" w:hAnsi="宋体" w:cs="宋体"/>
          <w:b/>
          <w:bCs/>
          <w:kern w:val="0"/>
          <w:sz w:val="24"/>
        </w:rPr>
      </w:pPr>
      <w:r>
        <w:rPr>
          <w:rFonts w:ascii="宋体" w:hAnsi="宋体" w:cs="宋体" w:hint="eastAsia"/>
          <w:b/>
          <w:bCs/>
          <w:kern w:val="0"/>
          <w:sz w:val="24"/>
        </w:rPr>
        <w:t>版权声明：</w:t>
      </w:r>
    </w:p>
    <w:p w14:paraId="14D61BA6" w14:textId="737C5825" w:rsidR="00B43C4D" w:rsidRDefault="00B822D6" w:rsidP="00963389">
      <w:pPr>
        <w:widowControl/>
        <w:numPr>
          <w:ilvl w:val="0"/>
          <w:numId w:val="4"/>
        </w:numPr>
        <w:spacing w:line="360" w:lineRule="auto"/>
        <w:ind w:firstLine="482"/>
        <w:rPr>
          <w:rFonts w:ascii="宋体" w:hAnsi="宋体" w:cs="宋体"/>
          <w:kern w:val="0"/>
          <w:sz w:val="24"/>
        </w:rPr>
      </w:pPr>
      <w:r>
        <w:rPr>
          <w:rFonts w:ascii="宋体" w:hAnsi="宋体" w:cs="宋体" w:hint="eastAsia"/>
          <w:kern w:val="0"/>
          <w:sz w:val="24"/>
        </w:rPr>
        <w:t>本报告相关知识产权归网经社电子商务研究中心所有，</w:t>
      </w:r>
      <w:r>
        <w:rPr>
          <w:rFonts w:ascii="宋体" w:hAnsi="宋体" w:cs="宋体" w:hint="eastAsia"/>
          <w:b/>
          <w:kern w:val="0"/>
          <w:sz w:val="24"/>
        </w:rPr>
        <w:t>任何部门、企业、机构、媒体等单位引用本报告数据、内容，均请注明：“根据网经社电子商务研究中心发布</w:t>
      </w:r>
      <w:r>
        <w:rPr>
          <w:rFonts w:ascii="宋体" w:eastAsia="宋体" w:hAnsi="宋体" w:cs="宋体" w:hint="eastAsia"/>
          <w:b/>
          <w:color w:val="000000" w:themeColor="text1"/>
          <w:kern w:val="0"/>
          <w:sz w:val="24"/>
        </w:rPr>
        <w:t>的</w:t>
      </w:r>
      <w:r>
        <w:rPr>
          <w:rFonts w:asciiTheme="minorEastAsia" w:hAnsiTheme="minorEastAsia" w:cstheme="minorEastAsia" w:hint="eastAsia"/>
          <w:b/>
          <w:color w:val="000000" w:themeColor="text1"/>
          <w:sz w:val="24"/>
        </w:rPr>
        <w:t>《2025年</w:t>
      </w:r>
      <w:r w:rsidR="00963389">
        <w:rPr>
          <w:rFonts w:asciiTheme="minorEastAsia" w:hAnsiTheme="minorEastAsia" w:cstheme="minorEastAsia"/>
          <w:b/>
          <w:color w:val="000000" w:themeColor="text1"/>
          <w:sz w:val="24"/>
        </w:rPr>
        <w:t>618</w:t>
      </w:r>
      <w:r w:rsidR="00963389">
        <w:rPr>
          <w:rFonts w:asciiTheme="minorEastAsia" w:hAnsiTheme="minorEastAsia" w:cstheme="minorEastAsia" w:hint="eastAsia"/>
          <w:b/>
          <w:color w:val="000000" w:themeColor="text1"/>
          <w:sz w:val="24"/>
        </w:rPr>
        <w:t>期间</w:t>
      </w:r>
      <w:r>
        <w:rPr>
          <w:rFonts w:asciiTheme="minorEastAsia" w:hAnsiTheme="minorEastAsia" w:cstheme="minorEastAsia" w:hint="eastAsia"/>
          <w:b/>
          <w:color w:val="000000" w:themeColor="text1"/>
          <w:sz w:val="24"/>
        </w:rPr>
        <w:t>中国电子商务用户体验与投诉数据报告》</w:t>
      </w:r>
      <w:r>
        <w:rPr>
          <w:rFonts w:ascii="宋体" w:hAnsi="宋体" w:cs="宋体" w:hint="eastAsia"/>
          <w:b/>
          <w:color w:val="000000" w:themeColor="text1"/>
          <w:kern w:val="0"/>
          <w:sz w:val="24"/>
        </w:rPr>
        <w:t>”</w:t>
      </w:r>
      <w:r>
        <w:rPr>
          <w:rFonts w:ascii="宋体" w:hAnsi="宋体" w:cs="宋体" w:hint="eastAsia"/>
          <w:color w:val="000000" w:themeColor="text1"/>
          <w:kern w:val="0"/>
          <w:sz w:val="24"/>
        </w:rPr>
        <w:t>。</w:t>
      </w:r>
    </w:p>
    <w:p w14:paraId="74EF7EBA" w14:textId="77777777" w:rsidR="00B43C4D" w:rsidRDefault="00B822D6" w:rsidP="00963389">
      <w:pPr>
        <w:widowControl/>
        <w:spacing w:line="360" w:lineRule="auto"/>
        <w:ind w:firstLine="482"/>
        <w:jc w:val="left"/>
        <w:rPr>
          <w:rFonts w:ascii="宋体" w:hAnsi="宋体" w:cs="宋体"/>
          <w:kern w:val="0"/>
          <w:sz w:val="24"/>
        </w:rPr>
      </w:pPr>
      <w:r>
        <w:rPr>
          <w:rFonts w:ascii="宋体" w:hAnsi="宋体" w:cs="宋体" w:hint="eastAsia"/>
          <w:kern w:val="0"/>
          <w:sz w:val="24"/>
        </w:rPr>
        <w:t>2、本报告仅为参考研究资料，不构成投资、决策等任何建议，由此带来的风险请慎重考虑，网经社电子商务研究中心不承担因使用本报告信息而产生的任何责任。</w:t>
      </w:r>
    </w:p>
    <w:p w14:paraId="22DD9417" w14:textId="77777777" w:rsidR="00B43C4D" w:rsidRDefault="00B822D6" w:rsidP="00963389">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3、报告涉及金额单位除特殊标注外，均默认为人民币（元）；本报告数据除特殊说明外，一般不含港澳台。</w:t>
      </w:r>
    </w:p>
    <w:p w14:paraId="29870D33" w14:textId="77777777" w:rsidR="00B43C4D" w:rsidRDefault="00B822D6" w:rsidP="00963389">
      <w:pPr>
        <w:widowControl/>
        <w:spacing w:line="360" w:lineRule="auto"/>
        <w:ind w:firstLine="482"/>
        <w:jc w:val="left"/>
        <w:rPr>
          <w:rFonts w:ascii="宋体" w:hAnsi="宋体" w:cs="宋体"/>
          <w:sz w:val="24"/>
        </w:rPr>
      </w:pPr>
      <w:r>
        <w:rPr>
          <w:rFonts w:ascii="宋体" w:hAnsi="宋体" w:cs="宋体" w:hint="eastAsia"/>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14:paraId="7C22A280" w14:textId="77777777" w:rsidR="00B43C4D" w:rsidRDefault="00B822D6">
      <w:pPr>
        <w:spacing w:line="360" w:lineRule="auto"/>
        <w:ind w:firstLine="482"/>
        <w:jc w:val="right"/>
        <w:outlineLvl w:val="1"/>
        <w:rPr>
          <w:rFonts w:ascii="宋体" w:hAnsi="宋体" w:cs="宋体"/>
          <w:b/>
          <w:bCs/>
          <w:sz w:val="28"/>
          <w:szCs w:val="28"/>
        </w:rPr>
      </w:pPr>
      <w:bookmarkStart w:id="41" w:name="_Toc26410"/>
      <w:bookmarkStart w:id="42" w:name="_Toc27093"/>
      <w:bookmarkStart w:id="43" w:name="_Toc13390"/>
      <w:bookmarkStart w:id="44" w:name="_Toc21512"/>
      <w:bookmarkStart w:id="45" w:name="_Toc22932"/>
      <w:bookmarkStart w:id="46" w:name="_Toc10799"/>
      <w:bookmarkStart w:id="47" w:name="_Toc17041"/>
      <w:bookmarkStart w:id="48" w:name="_Toc2264"/>
      <w:bookmarkStart w:id="49" w:name="_Toc16370"/>
      <w:bookmarkStart w:id="50" w:name="_Toc14637"/>
      <w:bookmarkStart w:id="51" w:name="_Toc12878"/>
      <w:bookmarkStart w:id="52" w:name="_Toc24469"/>
      <w:bookmarkStart w:id="53" w:name="_Toc31781"/>
      <w:bookmarkStart w:id="54" w:name="_Toc102659530"/>
      <w:bookmarkStart w:id="55" w:name="_Toc11384"/>
      <w:bookmarkStart w:id="56" w:name="_Toc24312"/>
      <w:bookmarkStart w:id="57" w:name="_Toc21964"/>
      <w:bookmarkStart w:id="58" w:name="_Toc1691"/>
      <w:bookmarkStart w:id="59" w:name="_Toc4658"/>
      <w:bookmarkStart w:id="60" w:name="_Toc25067"/>
      <w:bookmarkStart w:id="61" w:name="_Toc18850"/>
      <w:bookmarkStart w:id="62" w:name="_Toc30814"/>
      <w:bookmarkStart w:id="63" w:name="_Toc1123"/>
      <w:bookmarkStart w:id="64" w:name="_Toc24557"/>
      <w:bookmarkStart w:id="65" w:name="_Toc16859"/>
      <w:bookmarkStart w:id="66" w:name="_Toc6977"/>
      <w:r>
        <w:rPr>
          <w:rFonts w:ascii="宋体" w:hAnsi="宋体" w:cs="宋体" w:hint="eastAsia"/>
          <w:b/>
          <w:bCs/>
          <w:sz w:val="28"/>
          <w:szCs w:val="28"/>
        </w:rPr>
        <w:t>报告发布：网经社电子商务研究中心</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7C11477" w14:textId="6EFB359C" w:rsidR="00B43C4D" w:rsidRDefault="00B822D6">
      <w:pPr>
        <w:wordWrap w:val="0"/>
        <w:spacing w:line="360" w:lineRule="auto"/>
        <w:ind w:firstLine="482"/>
        <w:jc w:val="right"/>
        <w:outlineLvl w:val="1"/>
        <w:rPr>
          <w:rStyle w:val="aa"/>
          <w:rFonts w:ascii="微软雅黑" w:hAnsi="微软雅黑" w:cs="微软雅黑"/>
          <w:color w:val="C00000"/>
          <w:sz w:val="28"/>
          <w:szCs w:val="28"/>
        </w:rPr>
      </w:pPr>
      <w:bookmarkStart w:id="67" w:name="_Toc1221"/>
      <w:bookmarkStart w:id="68" w:name="_Toc17860"/>
      <w:bookmarkStart w:id="69" w:name="_Toc13591"/>
      <w:bookmarkStart w:id="70" w:name="_Toc3695"/>
      <w:bookmarkStart w:id="71" w:name="_Toc27361"/>
      <w:bookmarkStart w:id="72" w:name="_Toc30660"/>
      <w:bookmarkStart w:id="73" w:name="_Toc29828"/>
      <w:bookmarkStart w:id="74" w:name="_Toc15606"/>
      <w:bookmarkStart w:id="75" w:name="_Toc13308"/>
      <w:bookmarkStart w:id="76" w:name="_Toc15503"/>
      <w:bookmarkStart w:id="77" w:name="_Toc8948"/>
      <w:bookmarkStart w:id="78" w:name="_Toc9613"/>
      <w:bookmarkStart w:id="79" w:name="_Toc11602"/>
      <w:bookmarkStart w:id="80" w:name="_Toc26158"/>
      <w:bookmarkStart w:id="81" w:name="_Toc32066"/>
      <w:bookmarkStart w:id="82" w:name="_Toc15190"/>
      <w:bookmarkStart w:id="83" w:name="_Toc17877"/>
      <w:bookmarkStart w:id="84" w:name="_Toc32754"/>
      <w:bookmarkStart w:id="85" w:name="_Toc11147"/>
      <w:bookmarkStart w:id="86" w:name="_Toc10340"/>
      <w:bookmarkStart w:id="87" w:name="_Toc1018"/>
      <w:bookmarkStart w:id="88" w:name="_Toc32183"/>
      <w:bookmarkStart w:id="89" w:name="_Toc20008"/>
      <w:bookmarkStart w:id="90" w:name="_Toc11142"/>
      <w:bookmarkStart w:id="91" w:name="_Toc10921"/>
      <w:bookmarkStart w:id="92" w:name="_Toc21341"/>
      <w:bookmarkStart w:id="93" w:name="_Toc5381"/>
      <w:bookmarkStart w:id="94" w:name="_Toc24934"/>
      <w:bookmarkStart w:id="95" w:name="_Toc11282"/>
      <w:bookmarkStart w:id="96" w:name="_Toc29568"/>
      <w:bookmarkStart w:id="97" w:name="_Toc17132"/>
      <w:bookmarkStart w:id="98" w:name="_Toc23535"/>
      <w:bookmarkStart w:id="99" w:name="_Toc102659531"/>
      <w:r>
        <w:rPr>
          <w:rFonts w:ascii="宋体" w:hAnsi="宋体" w:cs="宋体" w:hint="eastAsia"/>
          <w:b/>
          <w:bCs/>
          <w:sz w:val="28"/>
          <w:szCs w:val="28"/>
        </w:rPr>
        <w:t>发布时间</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ascii="宋体" w:hAnsi="宋体" w:cs="宋体" w:hint="eastAsia"/>
          <w:b/>
          <w:bCs/>
          <w:sz w:val="28"/>
          <w:szCs w:val="28"/>
        </w:rPr>
        <w:t>：2025年</w:t>
      </w:r>
      <w:bookmarkEnd w:id="90"/>
      <w:bookmarkEnd w:id="91"/>
      <w:bookmarkEnd w:id="92"/>
      <w:bookmarkEnd w:id="93"/>
      <w:bookmarkEnd w:id="94"/>
      <w:bookmarkEnd w:id="95"/>
      <w:bookmarkEnd w:id="96"/>
      <w:bookmarkEnd w:id="97"/>
      <w:bookmarkEnd w:id="98"/>
      <w:r w:rsidR="00963389">
        <w:rPr>
          <w:rFonts w:ascii="宋体" w:hAnsi="宋体" w:cs="宋体"/>
          <w:b/>
          <w:bCs/>
          <w:sz w:val="28"/>
          <w:szCs w:val="28"/>
        </w:rPr>
        <w:t>7</w:t>
      </w:r>
      <w:r>
        <w:rPr>
          <w:rFonts w:ascii="宋体" w:hAnsi="宋体" w:cs="宋体" w:hint="eastAsia"/>
          <w:b/>
          <w:bCs/>
          <w:sz w:val="28"/>
          <w:szCs w:val="28"/>
        </w:rPr>
        <w:t>月</w:t>
      </w:r>
      <w:r w:rsidR="00963389">
        <w:rPr>
          <w:rFonts w:ascii="宋体" w:hAnsi="宋体" w:cs="宋体"/>
          <w:b/>
          <w:bCs/>
          <w:sz w:val="28"/>
          <w:szCs w:val="28"/>
        </w:rPr>
        <w:t>3</w:t>
      </w:r>
      <w:r>
        <w:rPr>
          <w:rFonts w:ascii="宋体" w:hAnsi="宋体" w:cs="宋体" w:hint="eastAsia"/>
          <w:b/>
          <w:bCs/>
          <w:sz w:val="28"/>
          <w:szCs w:val="28"/>
        </w:rPr>
        <w:t>日</w:t>
      </w:r>
      <w:bookmarkEnd w:id="99"/>
    </w:p>
    <w:p w14:paraId="7DE836F2" w14:textId="77777777" w:rsidR="00B43C4D" w:rsidRDefault="00B822D6">
      <w:pPr>
        <w:spacing w:beforeLines="50" w:before="156"/>
        <w:outlineLvl w:val="1"/>
        <w:rPr>
          <w:rStyle w:val="aa"/>
          <w:rFonts w:ascii="微软雅黑" w:eastAsia="微软雅黑" w:hAnsi="微软雅黑" w:cs="微软雅黑"/>
          <w:bCs/>
          <w:color w:val="5B9BD5" w:themeColor="accent1"/>
          <w:sz w:val="28"/>
          <w:szCs w:val="28"/>
        </w:rPr>
      </w:pPr>
      <w:bookmarkStart w:id="100" w:name="_Toc11112"/>
      <w:bookmarkStart w:id="101" w:name="_Toc25790"/>
      <w:bookmarkStart w:id="102" w:name="_Toc5429"/>
      <w:bookmarkStart w:id="103" w:name="_Toc21832"/>
      <w:bookmarkStart w:id="104" w:name="_Toc20146"/>
      <w:bookmarkStart w:id="105" w:name="_Toc102659532"/>
      <w:bookmarkStart w:id="106" w:name="_Toc7520"/>
      <w:bookmarkStart w:id="107" w:name="_Toc18918"/>
      <w:bookmarkStart w:id="108" w:name="_Toc21943"/>
      <w:bookmarkStart w:id="109" w:name="_Toc6588"/>
      <w:bookmarkStart w:id="110" w:name="_Toc20860"/>
      <w:bookmarkStart w:id="111" w:name="_Toc14425"/>
      <w:bookmarkStart w:id="112" w:name="_Toc10893"/>
      <w:bookmarkStart w:id="113" w:name="_Toc12631"/>
      <w:bookmarkStart w:id="114" w:name="_Toc26039"/>
      <w:bookmarkStart w:id="115" w:name="_Toc9748"/>
      <w:bookmarkStart w:id="116" w:name="_Toc22856"/>
      <w:bookmarkStart w:id="117" w:name="_Toc26390"/>
      <w:bookmarkStart w:id="118" w:name="_Toc13315"/>
      <w:bookmarkStart w:id="119" w:name="_Toc16563"/>
      <w:bookmarkStart w:id="120" w:name="_Toc3659"/>
      <w:bookmarkStart w:id="121" w:name="_Toc24167"/>
      <w:r>
        <w:rPr>
          <w:rStyle w:val="aa"/>
          <w:rFonts w:ascii="微软雅黑" w:eastAsia="微软雅黑" w:hAnsi="微软雅黑" w:cs="微软雅黑" w:hint="eastAsia"/>
          <w:color w:val="5B9BD5" w:themeColor="accent1"/>
          <w:sz w:val="28"/>
          <w:szCs w:val="28"/>
        </w:rPr>
        <w:lastRenderedPageBreak/>
        <w:t xml:space="preserve">官方公众号ID：i100EC            </w:t>
      </w:r>
      <w:r>
        <w:rPr>
          <w:rFonts w:ascii="微软雅黑" w:eastAsia="微软雅黑" w:hAnsi="微软雅黑" w:cs="微软雅黑" w:hint="eastAsia"/>
          <w:b/>
          <w:bCs/>
          <w:color w:val="5B9BD5" w:themeColor="accent1"/>
          <w:sz w:val="28"/>
          <w:szCs w:val="28"/>
        </w:rPr>
        <w:t>网购投诉平台ID：DSWQ315</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090EA95" w14:textId="77777777" w:rsidR="00B43C4D" w:rsidRDefault="00B822D6">
      <w:pPr>
        <w:spacing w:beforeLines="50" w:before="156"/>
        <w:ind w:firstLineChars="100" w:firstLine="211"/>
        <w:rPr>
          <w:rFonts w:asciiTheme="minorEastAsia" w:hAnsiTheme="minorEastAsia" w:cstheme="minorEastAsia"/>
          <w:b/>
          <w:bCs/>
          <w:color w:val="5B9BD5" w:themeColor="accent1"/>
          <w:szCs w:val="21"/>
        </w:rPr>
      </w:pPr>
      <w:r>
        <w:rPr>
          <w:rStyle w:val="aa"/>
          <w:rFonts w:asciiTheme="minorEastAsia" w:hAnsiTheme="minorEastAsia" w:cstheme="minorEastAsia" w:hint="eastAsia"/>
          <w:color w:val="5B9BD5" w:themeColor="accent1"/>
          <w:szCs w:val="21"/>
        </w:rPr>
        <w:t xml:space="preserve">（近40万电商人都在看！）                             </w:t>
      </w:r>
      <w:r>
        <w:rPr>
          <w:rFonts w:asciiTheme="minorEastAsia" w:hAnsiTheme="minorEastAsia" w:cstheme="minorEastAsia" w:hint="eastAsia"/>
          <w:b/>
          <w:bCs/>
          <w:color w:val="5B9BD5" w:themeColor="accent1"/>
          <w:szCs w:val="21"/>
        </w:rPr>
        <w:t>（在线网购投诉）</w:t>
      </w:r>
    </w:p>
    <w:p w14:paraId="62843BF4" w14:textId="77777777" w:rsidR="00B43C4D" w:rsidRDefault="00B822D6">
      <w:pPr>
        <w:spacing w:beforeLines="50" w:before="156" w:line="360" w:lineRule="auto"/>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14:anchorId="4DE97B1B" wp14:editId="11248E35">
            <wp:extent cx="1636395" cy="1655445"/>
            <wp:effectExtent l="0" t="0" r="1905"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9"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szCs w:val="21"/>
        </w:rPr>
        <w:t xml:space="preserve">                       </w:t>
      </w:r>
      <w:r>
        <w:rPr>
          <w:noProof/>
        </w:rPr>
        <w:drawing>
          <wp:inline distT="0" distB="0" distL="114300" distR="114300" wp14:anchorId="42704119" wp14:editId="677E3E9C">
            <wp:extent cx="1642110" cy="1633220"/>
            <wp:effectExtent l="0" t="0" r="8890"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0" cstate="print"/>
                    <a:stretch>
                      <a:fillRect/>
                    </a:stretch>
                  </pic:blipFill>
                  <pic:spPr>
                    <a:xfrm>
                      <a:off x="0" y="0"/>
                      <a:ext cx="1642110" cy="1633220"/>
                    </a:xfrm>
                    <a:prstGeom prst="rect">
                      <a:avLst/>
                    </a:prstGeom>
                    <a:noFill/>
                    <a:ln>
                      <a:noFill/>
                    </a:ln>
                  </pic:spPr>
                </pic:pic>
              </a:graphicData>
            </a:graphic>
          </wp:inline>
        </w:drawing>
      </w:r>
    </w:p>
    <w:p w14:paraId="55127D19" w14:textId="77777777" w:rsidR="00B43C4D" w:rsidRDefault="00B43C4D">
      <w:pPr>
        <w:spacing w:beforeLines="50" w:before="156"/>
        <w:jc w:val="left"/>
        <w:outlineLvl w:val="1"/>
        <w:rPr>
          <w:rFonts w:ascii="微软雅黑" w:eastAsia="微软雅黑" w:hAnsi="微软雅黑" w:cs="微软雅黑"/>
          <w:b/>
          <w:bCs/>
          <w:color w:val="5B9BD5" w:themeColor="accent1"/>
          <w:sz w:val="28"/>
          <w:szCs w:val="28"/>
        </w:rPr>
      </w:pPr>
      <w:bookmarkStart w:id="122" w:name="_Toc10027"/>
      <w:bookmarkStart w:id="123" w:name="_Toc28328"/>
      <w:bookmarkStart w:id="124" w:name="_Toc2691"/>
      <w:bookmarkStart w:id="125" w:name="_Toc24712"/>
      <w:bookmarkStart w:id="126" w:name="_Toc27206"/>
      <w:bookmarkStart w:id="127" w:name="_Toc25901"/>
      <w:bookmarkStart w:id="128" w:name="_Toc8396"/>
      <w:bookmarkStart w:id="129" w:name="_Toc13272"/>
      <w:bookmarkStart w:id="130" w:name="_Toc14643"/>
      <w:bookmarkStart w:id="131" w:name="_Toc29005"/>
      <w:bookmarkStart w:id="132" w:name="_Toc1119"/>
      <w:bookmarkStart w:id="133" w:name="_Toc102659533"/>
      <w:bookmarkStart w:id="134" w:name="_Toc2332"/>
      <w:bookmarkStart w:id="135" w:name="_Toc17692"/>
      <w:bookmarkStart w:id="136" w:name="_Toc8579"/>
      <w:bookmarkStart w:id="137" w:name="_Toc18710"/>
      <w:bookmarkStart w:id="138" w:name="_Toc27235"/>
      <w:bookmarkStart w:id="139" w:name="_Toc18278"/>
      <w:bookmarkStart w:id="140" w:name="_Toc6179"/>
      <w:bookmarkStart w:id="141" w:name="_Toc26109"/>
      <w:bookmarkStart w:id="142" w:name="_Toc26948"/>
      <w:bookmarkStart w:id="143" w:name="_Toc19281"/>
    </w:p>
    <w:p w14:paraId="41560BE3" w14:textId="77777777" w:rsidR="00B43C4D" w:rsidRDefault="00B822D6">
      <w:pPr>
        <w:spacing w:beforeLines="50" w:before="156"/>
        <w:jc w:val="left"/>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41" w:history="1">
        <w:r>
          <w:rPr>
            <w:rStyle w:val="ab"/>
            <w:rFonts w:ascii="微软雅黑" w:eastAsia="微软雅黑" w:hAnsi="微软雅黑" w:cs="微软雅黑" w:hint="eastAsia"/>
            <w:b/>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电诉宝（</w:t>
      </w:r>
      <w:hyperlink r:id="rId42" w:history="1">
        <w:r>
          <w:rPr>
            <w:rStyle w:val="ab"/>
            <w:rFonts w:ascii="微软雅黑" w:eastAsia="微软雅黑" w:hAnsi="微软雅黑" w:cs="微软雅黑" w:hint="eastAsia"/>
            <w:b/>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1D12DB35" w14:textId="77777777" w:rsidR="00B43C4D" w:rsidRDefault="00B822D6">
      <w:pPr>
        <w:pStyle w:val="a8"/>
        <w:widowControl/>
        <w:spacing w:afterAutospacing="0"/>
        <w:ind w:firstLineChars="300" w:firstLine="632"/>
      </w:pPr>
      <w:r>
        <w:rPr>
          <w:rFonts w:ascii="宋体" w:eastAsia="宋体" w:hAnsi="宋体" w:cs="宋体" w:hint="eastAsia"/>
          <w:b/>
          <w:bCs/>
          <w:color w:val="5B9BD5" w:themeColor="accent1"/>
          <w:sz w:val="21"/>
          <w:szCs w:val="21"/>
        </w:rPr>
        <w:t>（商家反向维权通道）                            （消费者投诉通道）</w:t>
      </w:r>
    </w:p>
    <w:p w14:paraId="77704EA0" w14:textId="77777777" w:rsidR="00B43C4D" w:rsidRDefault="00B822D6">
      <w:pPr>
        <w:spacing w:beforeLines="50" w:before="156" w:line="360" w:lineRule="auto"/>
        <w:jc w:val="center"/>
        <w:rPr>
          <w:rFonts w:ascii="宋体" w:hAnsi="宋体" w:cs="宋体"/>
          <w:sz w:val="24"/>
        </w:rPr>
      </w:pPr>
      <w:r>
        <w:rPr>
          <w:noProof/>
        </w:rPr>
        <w:drawing>
          <wp:inline distT="0" distB="0" distL="114300" distR="114300" wp14:anchorId="7134E167" wp14:editId="14B81A7E">
            <wp:extent cx="1783080" cy="1763395"/>
            <wp:effectExtent l="0" t="0" r="762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3"/>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75DD00CD" wp14:editId="3A74BF0B">
            <wp:extent cx="1687830" cy="1683385"/>
            <wp:effectExtent l="0" t="0" r="1270" b="571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44" cstate="print"/>
                    <a:stretch>
                      <a:fillRect/>
                    </a:stretch>
                  </pic:blipFill>
                  <pic:spPr>
                    <a:xfrm>
                      <a:off x="0" y="0"/>
                      <a:ext cx="1687830" cy="1683385"/>
                    </a:xfrm>
                    <a:prstGeom prst="rect">
                      <a:avLst/>
                    </a:prstGeom>
                  </pic:spPr>
                </pic:pic>
              </a:graphicData>
            </a:graphic>
          </wp:inline>
        </w:drawing>
      </w:r>
    </w:p>
    <w:p w14:paraId="2A85502E" w14:textId="77777777" w:rsidR="00B43C4D" w:rsidRDefault="00B43C4D">
      <w:pPr>
        <w:spacing w:beforeLines="50" w:before="156" w:line="360" w:lineRule="auto"/>
      </w:pPr>
    </w:p>
    <w:sectPr w:rsidR="00B43C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84F4" w14:textId="77777777" w:rsidR="00077241" w:rsidRDefault="00077241">
      <w:r>
        <w:separator/>
      </w:r>
    </w:p>
  </w:endnote>
  <w:endnote w:type="continuationSeparator" w:id="0">
    <w:p w14:paraId="22A0ADFD" w14:textId="77777777" w:rsidR="00077241" w:rsidRDefault="0007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275288"/>
      <w:docPartObj>
        <w:docPartGallery w:val="Page Numbers (Bottom of Page)"/>
        <w:docPartUnique/>
      </w:docPartObj>
    </w:sdtPr>
    <w:sdtEndPr/>
    <w:sdtContent>
      <w:p w14:paraId="54105B5B" w14:textId="5B7085E6" w:rsidR="00963389" w:rsidRDefault="00963389">
        <w:pPr>
          <w:pStyle w:val="a5"/>
          <w:jc w:val="center"/>
        </w:pPr>
        <w:r>
          <w:fldChar w:fldCharType="begin"/>
        </w:r>
        <w:r>
          <w:instrText>PAGE   \* MERGEFORMAT</w:instrText>
        </w:r>
        <w:r>
          <w:fldChar w:fldCharType="separate"/>
        </w:r>
        <w:r>
          <w:rPr>
            <w:lang w:val="zh-CN"/>
          </w:rPr>
          <w:t>2</w:t>
        </w:r>
        <w:r>
          <w:fldChar w:fldCharType="end"/>
        </w:r>
      </w:p>
    </w:sdtContent>
  </w:sdt>
  <w:p w14:paraId="7C61AB31" w14:textId="29FC6DE3" w:rsidR="00B43C4D" w:rsidRDefault="00B43C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36A8" w14:textId="77777777" w:rsidR="00077241" w:rsidRDefault="00077241">
      <w:r>
        <w:separator/>
      </w:r>
    </w:p>
  </w:footnote>
  <w:footnote w:type="continuationSeparator" w:id="0">
    <w:p w14:paraId="56909261" w14:textId="77777777" w:rsidR="00077241" w:rsidRDefault="00077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1D8E" w14:textId="77777777" w:rsidR="00B43C4D" w:rsidRDefault="00B822D6">
    <w:pPr>
      <w:pStyle w:val="a7"/>
    </w:pPr>
    <w:r>
      <w:rPr>
        <w:noProof/>
      </w:rPr>
      <w:drawing>
        <wp:inline distT="0" distB="0" distL="114300" distR="114300" wp14:anchorId="2FB7D175" wp14:editId="39EB454E">
          <wp:extent cx="1906270" cy="310515"/>
          <wp:effectExtent l="19050" t="0" r="0" b="0"/>
          <wp:docPr id="14"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网经社电子商务研究中心改.png网经社电子商务研究中心改"/>
                  <pic:cNvPicPr>
                    <a:picLocks noChangeAspect="1"/>
                  </pic:cNvPicPr>
                </pic:nvPicPr>
                <pic:blipFill>
                  <a:blip r:embed="rId1"/>
                  <a:srcRect/>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11CE85F9" wp14:editId="3AF6639F">
          <wp:extent cx="1219200" cy="561975"/>
          <wp:effectExtent l="0" t="0" r="0" b="0"/>
          <wp:docPr id="17"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电诉宝准Logo(1)"/>
                  <pic:cNvPicPr>
                    <a:picLocks noChangeAspect="1"/>
                  </pic:cNvPicPr>
                </pic:nvPicPr>
                <pic:blipFill>
                  <a:blip r:embed="rId2"/>
                  <a:srcRect/>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9CB3A5"/>
    <w:multiLevelType w:val="singleLevel"/>
    <w:tmpl w:val="879CB3A5"/>
    <w:lvl w:ilvl="0">
      <w:start w:val="1"/>
      <w:numFmt w:val="chineseCounting"/>
      <w:suff w:val="nothing"/>
      <w:lvlText w:val="（%1）"/>
      <w:lvlJc w:val="left"/>
      <w:rPr>
        <w:rFonts w:hint="eastAsia"/>
      </w:rPr>
    </w:lvl>
  </w:abstractNum>
  <w:abstractNum w:abstractNumId="1" w15:restartNumberingAfterBreak="0">
    <w:nsid w:val="986F9AF8"/>
    <w:multiLevelType w:val="singleLevel"/>
    <w:tmpl w:val="986F9AF8"/>
    <w:lvl w:ilvl="0">
      <w:start w:val="3"/>
      <w:numFmt w:val="chineseCounting"/>
      <w:suff w:val="nothing"/>
      <w:lvlText w:val="%1、"/>
      <w:lvlJc w:val="left"/>
      <w:rPr>
        <w:rFonts w:hint="eastAsia"/>
      </w:rPr>
    </w:lvl>
  </w:abstractNum>
  <w:abstractNum w:abstractNumId="2" w15:restartNumberingAfterBreak="0">
    <w:nsid w:val="BD0CC068"/>
    <w:multiLevelType w:val="singleLevel"/>
    <w:tmpl w:val="BD0CC068"/>
    <w:lvl w:ilvl="0">
      <w:start w:val="1"/>
      <w:numFmt w:val="chineseCounting"/>
      <w:suff w:val="nothing"/>
      <w:lvlText w:val="（%1）"/>
      <w:lvlJc w:val="left"/>
      <w:rPr>
        <w:rFonts w:hint="eastAsia"/>
      </w:rPr>
    </w:lvl>
  </w:abstractNum>
  <w:abstractNum w:abstractNumId="3" w15:restartNumberingAfterBreak="0">
    <w:nsid w:val="EABFBC2D"/>
    <w:multiLevelType w:val="singleLevel"/>
    <w:tmpl w:val="EABFBC2D"/>
    <w:lvl w:ilvl="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U2MjFhNzA3MjA5Y2ZlZjVlZTE3OGUwZWNiZjIyZjkifQ=="/>
  </w:docVars>
  <w:rsids>
    <w:rsidRoot w:val="00172A27"/>
    <w:rsid w:val="000008FE"/>
    <w:rsid w:val="00001BFC"/>
    <w:rsid w:val="000113DD"/>
    <w:rsid w:val="0001523C"/>
    <w:rsid w:val="00022A41"/>
    <w:rsid w:val="00024318"/>
    <w:rsid w:val="00024708"/>
    <w:rsid w:val="00027772"/>
    <w:rsid w:val="00031D32"/>
    <w:rsid w:val="00040EE7"/>
    <w:rsid w:val="00045055"/>
    <w:rsid w:val="0005588A"/>
    <w:rsid w:val="000578EB"/>
    <w:rsid w:val="00057B66"/>
    <w:rsid w:val="00060344"/>
    <w:rsid w:val="000609C7"/>
    <w:rsid w:val="00062F0B"/>
    <w:rsid w:val="00066BFD"/>
    <w:rsid w:val="00070D28"/>
    <w:rsid w:val="00077241"/>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43765"/>
    <w:rsid w:val="0014589E"/>
    <w:rsid w:val="0014763C"/>
    <w:rsid w:val="001507E7"/>
    <w:rsid w:val="00172A27"/>
    <w:rsid w:val="00174913"/>
    <w:rsid w:val="0018092F"/>
    <w:rsid w:val="00181175"/>
    <w:rsid w:val="00185E42"/>
    <w:rsid w:val="001A0F9E"/>
    <w:rsid w:val="001A2FAE"/>
    <w:rsid w:val="001A490F"/>
    <w:rsid w:val="001A598D"/>
    <w:rsid w:val="001B0E53"/>
    <w:rsid w:val="001B1647"/>
    <w:rsid w:val="001B1CA9"/>
    <w:rsid w:val="001B4DFC"/>
    <w:rsid w:val="001B640F"/>
    <w:rsid w:val="001C0E82"/>
    <w:rsid w:val="001D037E"/>
    <w:rsid w:val="001F267B"/>
    <w:rsid w:val="001F305F"/>
    <w:rsid w:val="0020149F"/>
    <w:rsid w:val="00203394"/>
    <w:rsid w:val="002133FF"/>
    <w:rsid w:val="002233BE"/>
    <w:rsid w:val="00231209"/>
    <w:rsid w:val="00232778"/>
    <w:rsid w:val="00232945"/>
    <w:rsid w:val="00233340"/>
    <w:rsid w:val="00236778"/>
    <w:rsid w:val="00237513"/>
    <w:rsid w:val="00240BAB"/>
    <w:rsid w:val="00241538"/>
    <w:rsid w:val="00263BB2"/>
    <w:rsid w:val="0026632D"/>
    <w:rsid w:val="00267944"/>
    <w:rsid w:val="00287175"/>
    <w:rsid w:val="002A37D6"/>
    <w:rsid w:val="002A512B"/>
    <w:rsid w:val="002A6ABB"/>
    <w:rsid w:val="002B33EE"/>
    <w:rsid w:val="002B5A9D"/>
    <w:rsid w:val="002C3945"/>
    <w:rsid w:val="002C4FEF"/>
    <w:rsid w:val="002D131C"/>
    <w:rsid w:val="002D1B79"/>
    <w:rsid w:val="002D4E34"/>
    <w:rsid w:val="002D7267"/>
    <w:rsid w:val="002E2243"/>
    <w:rsid w:val="002E40B9"/>
    <w:rsid w:val="002F6AEE"/>
    <w:rsid w:val="0030430B"/>
    <w:rsid w:val="00305219"/>
    <w:rsid w:val="00305E4E"/>
    <w:rsid w:val="00310FC1"/>
    <w:rsid w:val="0031144E"/>
    <w:rsid w:val="00311B53"/>
    <w:rsid w:val="003131E4"/>
    <w:rsid w:val="00315336"/>
    <w:rsid w:val="00316B92"/>
    <w:rsid w:val="0031705E"/>
    <w:rsid w:val="003177D5"/>
    <w:rsid w:val="00320504"/>
    <w:rsid w:val="00331589"/>
    <w:rsid w:val="00332768"/>
    <w:rsid w:val="0033459C"/>
    <w:rsid w:val="003355D5"/>
    <w:rsid w:val="00335CA8"/>
    <w:rsid w:val="003360A6"/>
    <w:rsid w:val="00336475"/>
    <w:rsid w:val="00351278"/>
    <w:rsid w:val="00352D0D"/>
    <w:rsid w:val="00357229"/>
    <w:rsid w:val="00363524"/>
    <w:rsid w:val="0036560C"/>
    <w:rsid w:val="00373A68"/>
    <w:rsid w:val="00381240"/>
    <w:rsid w:val="00382DF8"/>
    <w:rsid w:val="003924C0"/>
    <w:rsid w:val="003933D2"/>
    <w:rsid w:val="00393BDB"/>
    <w:rsid w:val="00394FD0"/>
    <w:rsid w:val="003A1228"/>
    <w:rsid w:val="003A2B0F"/>
    <w:rsid w:val="003B52DA"/>
    <w:rsid w:val="003C0A5A"/>
    <w:rsid w:val="003C1095"/>
    <w:rsid w:val="003C4517"/>
    <w:rsid w:val="003D5F1E"/>
    <w:rsid w:val="003D7267"/>
    <w:rsid w:val="003E1302"/>
    <w:rsid w:val="003E39A5"/>
    <w:rsid w:val="003E4A7D"/>
    <w:rsid w:val="003F24F5"/>
    <w:rsid w:val="003F2DD1"/>
    <w:rsid w:val="003F3CF1"/>
    <w:rsid w:val="003F610D"/>
    <w:rsid w:val="003F6342"/>
    <w:rsid w:val="003F7181"/>
    <w:rsid w:val="0040263D"/>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6918"/>
    <w:rsid w:val="00457E14"/>
    <w:rsid w:val="00460B5C"/>
    <w:rsid w:val="004615D7"/>
    <w:rsid w:val="00462FC3"/>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6AF8"/>
    <w:rsid w:val="005878B3"/>
    <w:rsid w:val="0059087B"/>
    <w:rsid w:val="005917F5"/>
    <w:rsid w:val="00596438"/>
    <w:rsid w:val="00597557"/>
    <w:rsid w:val="005A7139"/>
    <w:rsid w:val="005B1B10"/>
    <w:rsid w:val="005B391D"/>
    <w:rsid w:val="005B41DF"/>
    <w:rsid w:val="005B5B1F"/>
    <w:rsid w:val="005B6FF5"/>
    <w:rsid w:val="005B7C98"/>
    <w:rsid w:val="005C100B"/>
    <w:rsid w:val="005C1AB5"/>
    <w:rsid w:val="005C2063"/>
    <w:rsid w:val="005C425B"/>
    <w:rsid w:val="005C63A2"/>
    <w:rsid w:val="005D31FA"/>
    <w:rsid w:val="005F49BD"/>
    <w:rsid w:val="00603F6B"/>
    <w:rsid w:val="00606F74"/>
    <w:rsid w:val="006075F7"/>
    <w:rsid w:val="0061235C"/>
    <w:rsid w:val="006175C7"/>
    <w:rsid w:val="0061776F"/>
    <w:rsid w:val="006219D1"/>
    <w:rsid w:val="00624479"/>
    <w:rsid w:val="00624B48"/>
    <w:rsid w:val="00625619"/>
    <w:rsid w:val="006269B0"/>
    <w:rsid w:val="00641843"/>
    <w:rsid w:val="006421B9"/>
    <w:rsid w:val="00642B0D"/>
    <w:rsid w:val="00642C03"/>
    <w:rsid w:val="00644991"/>
    <w:rsid w:val="00645068"/>
    <w:rsid w:val="00647EE3"/>
    <w:rsid w:val="00650A1F"/>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6F6760"/>
    <w:rsid w:val="0070080E"/>
    <w:rsid w:val="00700E32"/>
    <w:rsid w:val="007029B6"/>
    <w:rsid w:val="00703309"/>
    <w:rsid w:val="007069A7"/>
    <w:rsid w:val="007115E1"/>
    <w:rsid w:val="00717616"/>
    <w:rsid w:val="007219D3"/>
    <w:rsid w:val="00723DCD"/>
    <w:rsid w:val="00724E22"/>
    <w:rsid w:val="00725FFD"/>
    <w:rsid w:val="00726C52"/>
    <w:rsid w:val="0073420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0FBD"/>
    <w:rsid w:val="00822603"/>
    <w:rsid w:val="00826110"/>
    <w:rsid w:val="00826D87"/>
    <w:rsid w:val="00840F4F"/>
    <w:rsid w:val="00842783"/>
    <w:rsid w:val="008504E0"/>
    <w:rsid w:val="00851103"/>
    <w:rsid w:val="00854B15"/>
    <w:rsid w:val="00855CB6"/>
    <w:rsid w:val="00860EAE"/>
    <w:rsid w:val="008829CA"/>
    <w:rsid w:val="00883042"/>
    <w:rsid w:val="00884104"/>
    <w:rsid w:val="00890786"/>
    <w:rsid w:val="00891352"/>
    <w:rsid w:val="008924D2"/>
    <w:rsid w:val="00892B2A"/>
    <w:rsid w:val="00896AC5"/>
    <w:rsid w:val="008A08AD"/>
    <w:rsid w:val="008A46DA"/>
    <w:rsid w:val="008A6B1E"/>
    <w:rsid w:val="008C21AD"/>
    <w:rsid w:val="008C566F"/>
    <w:rsid w:val="008D216D"/>
    <w:rsid w:val="008D31BA"/>
    <w:rsid w:val="008D33E1"/>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12C6"/>
    <w:rsid w:val="009179FD"/>
    <w:rsid w:val="009249A2"/>
    <w:rsid w:val="009269E2"/>
    <w:rsid w:val="00927062"/>
    <w:rsid w:val="00927EAB"/>
    <w:rsid w:val="00930208"/>
    <w:rsid w:val="00933E64"/>
    <w:rsid w:val="00935273"/>
    <w:rsid w:val="0093719D"/>
    <w:rsid w:val="009376B2"/>
    <w:rsid w:val="00944A3D"/>
    <w:rsid w:val="00946EB1"/>
    <w:rsid w:val="00951819"/>
    <w:rsid w:val="00952C87"/>
    <w:rsid w:val="0095400C"/>
    <w:rsid w:val="00954B72"/>
    <w:rsid w:val="00955E9B"/>
    <w:rsid w:val="009619B4"/>
    <w:rsid w:val="00961AAA"/>
    <w:rsid w:val="00962B99"/>
    <w:rsid w:val="00963389"/>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3C6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60FDC"/>
    <w:rsid w:val="00A61958"/>
    <w:rsid w:val="00A7235F"/>
    <w:rsid w:val="00A83D30"/>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050C7"/>
    <w:rsid w:val="00B106C1"/>
    <w:rsid w:val="00B1127A"/>
    <w:rsid w:val="00B12A75"/>
    <w:rsid w:val="00B13BA1"/>
    <w:rsid w:val="00B15B71"/>
    <w:rsid w:val="00B169D5"/>
    <w:rsid w:val="00B20FDB"/>
    <w:rsid w:val="00B219CB"/>
    <w:rsid w:val="00B22A9D"/>
    <w:rsid w:val="00B23C38"/>
    <w:rsid w:val="00B255EE"/>
    <w:rsid w:val="00B31654"/>
    <w:rsid w:val="00B31F52"/>
    <w:rsid w:val="00B336BD"/>
    <w:rsid w:val="00B344D0"/>
    <w:rsid w:val="00B36173"/>
    <w:rsid w:val="00B43C4D"/>
    <w:rsid w:val="00B44E6C"/>
    <w:rsid w:val="00B4701D"/>
    <w:rsid w:val="00B56EA7"/>
    <w:rsid w:val="00B61949"/>
    <w:rsid w:val="00B62268"/>
    <w:rsid w:val="00B727F2"/>
    <w:rsid w:val="00B73E63"/>
    <w:rsid w:val="00B822D6"/>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36C0F"/>
    <w:rsid w:val="00C41091"/>
    <w:rsid w:val="00C44F8B"/>
    <w:rsid w:val="00C45F65"/>
    <w:rsid w:val="00C57DEA"/>
    <w:rsid w:val="00C71843"/>
    <w:rsid w:val="00C7323A"/>
    <w:rsid w:val="00C766A6"/>
    <w:rsid w:val="00C921F9"/>
    <w:rsid w:val="00C92719"/>
    <w:rsid w:val="00C93084"/>
    <w:rsid w:val="00C97938"/>
    <w:rsid w:val="00CA52D9"/>
    <w:rsid w:val="00CA60C2"/>
    <w:rsid w:val="00CB0059"/>
    <w:rsid w:val="00CB113E"/>
    <w:rsid w:val="00CB5DD6"/>
    <w:rsid w:val="00CB7ACF"/>
    <w:rsid w:val="00CC05E8"/>
    <w:rsid w:val="00CC1939"/>
    <w:rsid w:val="00CC4393"/>
    <w:rsid w:val="00CC4983"/>
    <w:rsid w:val="00CC759E"/>
    <w:rsid w:val="00CD7C8F"/>
    <w:rsid w:val="00D0512E"/>
    <w:rsid w:val="00D11F54"/>
    <w:rsid w:val="00D120C6"/>
    <w:rsid w:val="00D12EC2"/>
    <w:rsid w:val="00D14879"/>
    <w:rsid w:val="00D168A2"/>
    <w:rsid w:val="00D17F41"/>
    <w:rsid w:val="00D20CB4"/>
    <w:rsid w:val="00D333C3"/>
    <w:rsid w:val="00D33875"/>
    <w:rsid w:val="00D36FFD"/>
    <w:rsid w:val="00D51434"/>
    <w:rsid w:val="00D67E79"/>
    <w:rsid w:val="00D820E7"/>
    <w:rsid w:val="00D825F1"/>
    <w:rsid w:val="00D8395F"/>
    <w:rsid w:val="00D90CD4"/>
    <w:rsid w:val="00D9562C"/>
    <w:rsid w:val="00D96666"/>
    <w:rsid w:val="00DA00A0"/>
    <w:rsid w:val="00DA3040"/>
    <w:rsid w:val="00DA5DB7"/>
    <w:rsid w:val="00DB0884"/>
    <w:rsid w:val="00DB1BFA"/>
    <w:rsid w:val="00DC08FF"/>
    <w:rsid w:val="00DC0EEA"/>
    <w:rsid w:val="00DC434B"/>
    <w:rsid w:val="00DC6DAB"/>
    <w:rsid w:val="00DD596C"/>
    <w:rsid w:val="00DD6F19"/>
    <w:rsid w:val="00DD71B2"/>
    <w:rsid w:val="00DE5C5E"/>
    <w:rsid w:val="00DE790B"/>
    <w:rsid w:val="00DF122A"/>
    <w:rsid w:val="00DF1980"/>
    <w:rsid w:val="00DF56BD"/>
    <w:rsid w:val="00E07E72"/>
    <w:rsid w:val="00E14F45"/>
    <w:rsid w:val="00E30650"/>
    <w:rsid w:val="00E306AE"/>
    <w:rsid w:val="00E35002"/>
    <w:rsid w:val="00E35B3E"/>
    <w:rsid w:val="00E36D2B"/>
    <w:rsid w:val="00E404C9"/>
    <w:rsid w:val="00E54978"/>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25697"/>
    <w:rsid w:val="00F325E6"/>
    <w:rsid w:val="00F367BD"/>
    <w:rsid w:val="00F409CB"/>
    <w:rsid w:val="00F51368"/>
    <w:rsid w:val="00F541A8"/>
    <w:rsid w:val="00F54C10"/>
    <w:rsid w:val="00F60241"/>
    <w:rsid w:val="00F61D20"/>
    <w:rsid w:val="00F6625B"/>
    <w:rsid w:val="00F73EF9"/>
    <w:rsid w:val="00F7711E"/>
    <w:rsid w:val="00F847B5"/>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1B4643F"/>
    <w:rsid w:val="01CE280C"/>
    <w:rsid w:val="02304E24"/>
    <w:rsid w:val="02994853"/>
    <w:rsid w:val="03A90A63"/>
    <w:rsid w:val="04363C8E"/>
    <w:rsid w:val="047C6D6D"/>
    <w:rsid w:val="054D10EA"/>
    <w:rsid w:val="05587CC8"/>
    <w:rsid w:val="05E23258"/>
    <w:rsid w:val="067F0936"/>
    <w:rsid w:val="072A19D5"/>
    <w:rsid w:val="072D15C8"/>
    <w:rsid w:val="083F54F9"/>
    <w:rsid w:val="08413769"/>
    <w:rsid w:val="087F6E1A"/>
    <w:rsid w:val="099A5001"/>
    <w:rsid w:val="0A195C1F"/>
    <w:rsid w:val="0A4C126F"/>
    <w:rsid w:val="0B487268"/>
    <w:rsid w:val="0B760304"/>
    <w:rsid w:val="0B7A5DF9"/>
    <w:rsid w:val="0B8F162E"/>
    <w:rsid w:val="0BB2494C"/>
    <w:rsid w:val="0BB90FF9"/>
    <w:rsid w:val="0C28767C"/>
    <w:rsid w:val="0C55526A"/>
    <w:rsid w:val="0CA926B4"/>
    <w:rsid w:val="0CA9299F"/>
    <w:rsid w:val="0CB5176E"/>
    <w:rsid w:val="0D304082"/>
    <w:rsid w:val="0D3A1CF2"/>
    <w:rsid w:val="0D97739A"/>
    <w:rsid w:val="0DD9290F"/>
    <w:rsid w:val="0E214744"/>
    <w:rsid w:val="0E2956AF"/>
    <w:rsid w:val="0E7C61D3"/>
    <w:rsid w:val="0EAD36A7"/>
    <w:rsid w:val="0EED198A"/>
    <w:rsid w:val="0F542633"/>
    <w:rsid w:val="0F6A005A"/>
    <w:rsid w:val="0F8C2C8D"/>
    <w:rsid w:val="0FD66030"/>
    <w:rsid w:val="0FEA0949"/>
    <w:rsid w:val="1021369D"/>
    <w:rsid w:val="10D7002E"/>
    <w:rsid w:val="1151445E"/>
    <w:rsid w:val="119C511E"/>
    <w:rsid w:val="11A3682B"/>
    <w:rsid w:val="11D50B39"/>
    <w:rsid w:val="11F02824"/>
    <w:rsid w:val="12437483"/>
    <w:rsid w:val="128D4367"/>
    <w:rsid w:val="128E689D"/>
    <w:rsid w:val="12907582"/>
    <w:rsid w:val="12BF3B27"/>
    <w:rsid w:val="12E61056"/>
    <w:rsid w:val="130B063D"/>
    <w:rsid w:val="13A23DBC"/>
    <w:rsid w:val="13C80A82"/>
    <w:rsid w:val="140E3D4C"/>
    <w:rsid w:val="14DD483B"/>
    <w:rsid w:val="15347D0B"/>
    <w:rsid w:val="15915971"/>
    <w:rsid w:val="15930E74"/>
    <w:rsid w:val="15BD4AE9"/>
    <w:rsid w:val="15C81E56"/>
    <w:rsid w:val="164851A6"/>
    <w:rsid w:val="1652230F"/>
    <w:rsid w:val="1663076D"/>
    <w:rsid w:val="175C3E39"/>
    <w:rsid w:val="1762513C"/>
    <w:rsid w:val="17B024FE"/>
    <w:rsid w:val="17BB3CFC"/>
    <w:rsid w:val="17E24350"/>
    <w:rsid w:val="17F117A3"/>
    <w:rsid w:val="18251C26"/>
    <w:rsid w:val="191E19A3"/>
    <w:rsid w:val="192667D1"/>
    <w:rsid w:val="197F6ABE"/>
    <w:rsid w:val="19940409"/>
    <w:rsid w:val="19EC72BC"/>
    <w:rsid w:val="1A2F4A85"/>
    <w:rsid w:val="1A58610F"/>
    <w:rsid w:val="1A7267F4"/>
    <w:rsid w:val="1BF1157D"/>
    <w:rsid w:val="1C3F0AE4"/>
    <w:rsid w:val="1C427968"/>
    <w:rsid w:val="1C7A3677"/>
    <w:rsid w:val="1CAC1941"/>
    <w:rsid w:val="1CD01F91"/>
    <w:rsid w:val="1D122B2E"/>
    <w:rsid w:val="1D5E74C5"/>
    <w:rsid w:val="1D6E4ED7"/>
    <w:rsid w:val="1DC1221D"/>
    <w:rsid w:val="1E0B6C90"/>
    <w:rsid w:val="1E777800"/>
    <w:rsid w:val="1F314A65"/>
    <w:rsid w:val="1F5749F8"/>
    <w:rsid w:val="1F8B5E71"/>
    <w:rsid w:val="1FBD7C1F"/>
    <w:rsid w:val="2022196D"/>
    <w:rsid w:val="20232E47"/>
    <w:rsid w:val="20831F67"/>
    <w:rsid w:val="20B5361D"/>
    <w:rsid w:val="20BB1DB4"/>
    <w:rsid w:val="20D06039"/>
    <w:rsid w:val="21135FD2"/>
    <w:rsid w:val="21292150"/>
    <w:rsid w:val="21C03B6C"/>
    <w:rsid w:val="22264B96"/>
    <w:rsid w:val="227635D6"/>
    <w:rsid w:val="22B76683"/>
    <w:rsid w:val="22BC1C9E"/>
    <w:rsid w:val="22D41DC2"/>
    <w:rsid w:val="23471CFB"/>
    <w:rsid w:val="23B74214"/>
    <w:rsid w:val="24233357"/>
    <w:rsid w:val="244E5BC6"/>
    <w:rsid w:val="24E60441"/>
    <w:rsid w:val="25251C80"/>
    <w:rsid w:val="25566D14"/>
    <w:rsid w:val="25DD21B3"/>
    <w:rsid w:val="25F2550C"/>
    <w:rsid w:val="267B47B0"/>
    <w:rsid w:val="26D439F4"/>
    <w:rsid w:val="27186D03"/>
    <w:rsid w:val="27B92B32"/>
    <w:rsid w:val="27E3762C"/>
    <w:rsid w:val="27EF40FF"/>
    <w:rsid w:val="28035CC9"/>
    <w:rsid w:val="28222648"/>
    <w:rsid w:val="28D21782"/>
    <w:rsid w:val="28D90AF6"/>
    <w:rsid w:val="292459F1"/>
    <w:rsid w:val="2AA0262C"/>
    <w:rsid w:val="2B5B3A94"/>
    <w:rsid w:val="2BD944B2"/>
    <w:rsid w:val="2C2C17BC"/>
    <w:rsid w:val="2C7A0008"/>
    <w:rsid w:val="2CC51B87"/>
    <w:rsid w:val="2CD13F3A"/>
    <w:rsid w:val="2CD80D47"/>
    <w:rsid w:val="2D4E7208"/>
    <w:rsid w:val="2D923C8B"/>
    <w:rsid w:val="2E246034"/>
    <w:rsid w:val="2E5E5C1F"/>
    <w:rsid w:val="2E955D29"/>
    <w:rsid w:val="2F7A4403"/>
    <w:rsid w:val="2FB24854"/>
    <w:rsid w:val="30BF439A"/>
    <w:rsid w:val="30D25A38"/>
    <w:rsid w:val="31034EE4"/>
    <w:rsid w:val="31035B52"/>
    <w:rsid w:val="31134AF1"/>
    <w:rsid w:val="31B01081"/>
    <w:rsid w:val="32085F21"/>
    <w:rsid w:val="32410D7E"/>
    <w:rsid w:val="324234D5"/>
    <w:rsid w:val="32C6485A"/>
    <w:rsid w:val="3383074C"/>
    <w:rsid w:val="341A3E87"/>
    <w:rsid w:val="34BE1C7E"/>
    <w:rsid w:val="34FC0BB7"/>
    <w:rsid w:val="3507141A"/>
    <w:rsid w:val="35AE1415"/>
    <w:rsid w:val="36142A80"/>
    <w:rsid w:val="365022C5"/>
    <w:rsid w:val="365976FD"/>
    <w:rsid w:val="366175C4"/>
    <w:rsid w:val="3663237C"/>
    <w:rsid w:val="367F6C8E"/>
    <w:rsid w:val="369A59B6"/>
    <w:rsid w:val="36BD15E3"/>
    <w:rsid w:val="371B2546"/>
    <w:rsid w:val="379224A8"/>
    <w:rsid w:val="37D00A9F"/>
    <w:rsid w:val="37F115CD"/>
    <w:rsid w:val="38D428CC"/>
    <w:rsid w:val="38EF7F95"/>
    <w:rsid w:val="3941767C"/>
    <w:rsid w:val="395B4E7C"/>
    <w:rsid w:val="3985730C"/>
    <w:rsid w:val="39A614CB"/>
    <w:rsid w:val="39B16A37"/>
    <w:rsid w:val="3A063F42"/>
    <w:rsid w:val="3A4B6966"/>
    <w:rsid w:val="3AE657AF"/>
    <w:rsid w:val="3AED09BD"/>
    <w:rsid w:val="3B154D8C"/>
    <w:rsid w:val="3B191493"/>
    <w:rsid w:val="3B74015D"/>
    <w:rsid w:val="3BFD7FFA"/>
    <w:rsid w:val="3C465226"/>
    <w:rsid w:val="3C7704C4"/>
    <w:rsid w:val="3D066557"/>
    <w:rsid w:val="3D3316B8"/>
    <w:rsid w:val="3D3C38C1"/>
    <w:rsid w:val="3D583A9A"/>
    <w:rsid w:val="3D6A400F"/>
    <w:rsid w:val="3D712EC0"/>
    <w:rsid w:val="3D9D3CB5"/>
    <w:rsid w:val="3DA16A55"/>
    <w:rsid w:val="3E4C7F12"/>
    <w:rsid w:val="3E634E3C"/>
    <w:rsid w:val="3EE50033"/>
    <w:rsid w:val="3EEE5B27"/>
    <w:rsid w:val="3F730679"/>
    <w:rsid w:val="3F841629"/>
    <w:rsid w:val="40782BD2"/>
    <w:rsid w:val="41526B64"/>
    <w:rsid w:val="418D0F3A"/>
    <w:rsid w:val="42271614"/>
    <w:rsid w:val="422B001A"/>
    <w:rsid w:val="424D161D"/>
    <w:rsid w:val="42FD5613"/>
    <w:rsid w:val="43386C97"/>
    <w:rsid w:val="43535F48"/>
    <w:rsid w:val="43832BB6"/>
    <w:rsid w:val="438422AA"/>
    <w:rsid w:val="43B57579"/>
    <w:rsid w:val="440F0EBF"/>
    <w:rsid w:val="44302CEE"/>
    <w:rsid w:val="44836261"/>
    <w:rsid w:val="44911A8D"/>
    <w:rsid w:val="451866FF"/>
    <w:rsid w:val="457E18BC"/>
    <w:rsid w:val="46204E8A"/>
    <w:rsid w:val="462D14AE"/>
    <w:rsid w:val="46BD5BCA"/>
    <w:rsid w:val="46CB0360"/>
    <w:rsid w:val="471D091C"/>
    <w:rsid w:val="47835315"/>
    <w:rsid w:val="47A97124"/>
    <w:rsid w:val="47CC6474"/>
    <w:rsid w:val="47CD0F5B"/>
    <w:rsid w:val="48594FB1"/>
    <w:rsid w:val="48B96A30"/>
    <w:rsid w:val="49950546"/>
    <w:rsid w:val="49B33379"/>
    <w:rsid w:val="4A2C72F7"/>
    <w:rsid w:val="4A560724"/>
    <w:rsid w:val="4A735089"/>
    <w:rsid w:val="4B2772B6"/>
    <w:rsid w:val="4B374F60"/>
    <w:rsid w:val="4B493A8A"/>
    <w:rsid w:val="4B6F6221"/>
    <w:rsid w:val="4B950E46"/>
    <w:rsid w:val="4C644CD6"/>
    <w:rsid w:val="4D4154F7"/>
    <w:rsid w:val="4D510530"/>
    <w:rsid w:val="4D6E7D47"/>
    <w:rsid w:val="4D7039C9"/>
    <w:rsid w:val="4D9B7612"/>
    <w:rsid w:val="4D9F02E7"/>
    <w:rsid w:val="4DB1793A"/>
    <w:rsid w:val="4DC95CAB"/>
    <w:rsid w:val="4E747792"/>
    <w:rsid w:val="4EDD04CE"/>
    <w:rsid w:val="4EE936A0"/>
    <w:rsid w:val="4F160DB9"/>
    <w:rsid w:val="4F2214E2"/>
    <w:rsid w:val="4F791EF0"/>
    <w:rsid w:val="4F822D0B"/>
    <w:rsid w:val="50083021"/>
    <w:rsid w:val="505C0F87"/>
    <w:rsid w:val="50874DF7"/>
    <w:rsid w:val="50CC3A9C"/>
    <w:rsid w:val="510D2AA8"/>
    <w:rsid w:val="51586ACE"/>
    <w:rsid w:val="51B45F98"/>
    <w:rsid w:val="52676685"/>
    <w:rsid w:val="529C2335"/>
    <w:rsid w:val="52B107AA"/>
    <w:rsid w:val="53012E37"/>
    <w:rsid w:val="5315305C"/>
    <w:rsid w:val="53C21D6E"/>
    <w:rsid w:val="53DA2475"/>
    <w:rsid w:val="541A206B"/>
    <w:rsid w:val="5473009A"/>
    <w:rsid w:val="5476668F"/>
    <w:rsid w:val="547C592D"/>
    <w:rsid w:val="548C6D1C"/>
    <w:rsid w:val="55272FC3"/>
    <w:rsid w:val="55762246"/>
    <w:rsid w:val="560F4660"/>
    <w:rsid w:val="570D752D"/>
    <w:rsid w:val="573F3FE1"/>
    <w:rsid w:val="57A61D12"/>
    <w:rsid w:val="58E654C7"/>
    <w:rsid w:val="591D679C"/>
    <w:rsid w:val="59C44E52"/>
    <w:rsid w:val="5A802C08"/>
    <w:rsid w:val="5AA95C38"/>
    <w:rsid w:val="5AC558FB"/>
    <w:rsid w:val="5AE0016A"/>
    <w:rsid w:val="5BD460B1"/>
    <w:rsid w:val="5C0F0D95"/>
    <w:rsid w:val="5C7A1D7D"/>
    <w:rsid w:val="5CB27E46"/>
    <w:rsid w:val="5CBF56B6"/>
    <w:rsid w:val="5CC62AC2"/>
    <w:rsid w:val="5D31499D"/>
    <w:rsid w:val="5E0F025B"/>
    <w:rsid w:val="5E195109"/>
    <w:rsid w:val="5E74305A"/>
    <w:rsid w:val="5F1E7327"/>
    <w:rsid w:val="5F5A2053"/>
    <w:rsid w:val="5F6C38C9"/>
    <w:rsid w:val="60500A62"/>
    <w:rsid w:val="605D27B5"/>
    <w:rsid w:val="60B22133"/>
    <w:rsid w:val="60B35636"/>
    <w:rsid w:val="60BA7413"/>
    <w:rsid w:val="60E24E81"/>
    <w:rsid w:val="61134876"/>
    <w:rsid w:val="6142760A"/>
    <w:rsid w:val="614A4A93"/>
    <w:rsid w:val="616C541C"/>
    <w:rsid w:val="619160CC"/>
    <w:rsid w:val="61A96E48"/>
    <w:rsid w:val="625D1043"/>
    <w:rsid w:val="62612902"/>
    <w:rsid w:val="62662018"/>
    <w:rsid w:val="627A1826"/>
    <w:rsid w:val="62D133C0"/>
    <w:rsid w:val="63277479"/>
    <w:rsid w:val="633B165F"/>
    <w:rsid w:val="6360453D"/>
    <w:rsid w:val="63736255"/>
    <w:rsid w:val="63AD4D7B"/>
    <w:rsid w:val="64771CA4"/>
    <w:rsid w:val="648A6492"/>
    <w:rsid w:val="648E023F"/>
    <w:rsid w:val="64A76FA4"/>
    <w:rsid w:val="65881649"/>
    <w:rsid w:val="6596271A"/>
    <w:rsid w:val="65AC2481"/>
    <w:rsid w:val="65DE1DB1"/>
    <w:rsid w:val="65E74C3F"/>
    <w:rsid w:val="66313600"/>
    <w:rsid w:val="66A27570"/>
    <w:rsid w:val="670A3761"/>
    <w:rsid w:val="67531912"/>
    <w:rsid w:val="67962B2C"/>
    <w:rsid w:val="67BB0E7B"/>
    <w:rsid w:val="682532BB"/>
    <w:rsid w:val="68375556"/>
    <w:rsid w:val="68392861"/>
    <w:rsid w:val="68690347"/>
    <w:rsid w:val="69AA5150"/>
    <w:rsid w:val="69DB1821"/>
    <w:rsid w:val="69FB20C5"/>
    <w:rsid w:val="69FB7120"/>
    <w:rsid w:val="6A892B20"/>
    <w:rsid w:val="6B44724E"/>
    <w:rsid w:val="6BFC55D7"/>
    <w:rsid w:val="6C55074B"/>
    <w:rsid w:val="6CC31A4A"/>
    <w:rsid w:val="6D251D1D"/>
    <w:rsid w:val="6DEB688F"/>
    <w:rsid w:val="6DEC0ACA"/>
    <w:rsid w:val="6E66566A"/>
    <w:rsid w:val="6EB724B4"/>
    <w:rsid w:val="6FD352C6"/>
    <w:rsid w:val="6FF055CD"/>
    <w:rsid w:val="6FF63A26"/>
    <w:rsid w:val="70597B9A"/>
    <w:rsid w:val="706B5DB0"/>
    <w:rsid w:val="72012409"/>
    <w:rsid w:val="72CF1D17"/>
    <w:rsid w:val="72CF483A"/>
    <w:rsid w:val="73213AA8"/>
    <w:rsid w:val="733E49BF"/>
    <w:rsid w:val="734D68B5"/>
    <w:rsid w:val="73B70560"/>
    <w:rsid w:val="74A67E7F"/>
    <w:rsid w:val="75360459"/>
    <w:rsid w:val="754D783F"/>
    <w:rsid w:val="7554056B"/>
    <w:rsid w:val="756845CD"/>
    <w:rsid w:val="756D7CC5"/>
    <w:rsid w:val="75A76527"/>
    <w:rsid w:val="75E1200D"/>
    <w:rsid w:val="760C71B7"/>
    <w:rsid w:val="767D1A75"/>
    <w:rsid w:val="769B6150"/>
    <w:rsid w:val="76F91B44"/>
    <w:rsid w:val="76FF1D05"/>
    <w:rsid w:val="77CA581F"/>
    <w:rsid w:val="77E500C2"/>
    <w:rsid w:val="77F866D1"/>
    <w:rsid w:val="783C6553"/>
    <w:rsid w:val="78A43C58"/>
    <w:rsid w:val="78B80904"/>
    <w:rsid w:val="78F558F0"/>
    <w:rsid w:val="79634BA8"/>
    <w:rsid w:val="798C1481"/>
    <w:rsid w:val="79F10493"/>
    <w:rsid w:val="7A0423EA"/>
    <w:rsid w:val="7A1F59EF"/>
    <w:rsid w:val="7A292A93"/>
    <w:rsid w:val="7A98322D"/>
    <w:rsid w:val="7AC87533"/>
    <w:rsid w:val="7AFB71CB"/>
    <w:rsid w:val="7B4E03F5"/>
    <w:rsid w:val="7B763959"/>
    <w:rsid w:val="7B850502"/>
    <w:rsid w:val="7B8514B2"/>
    <w:rsid w:val="7BBF4923"/>
    <w:rsid w:val="7BE317A6"/>
    <w:rsid w:val="7C62341F"/>
    <w:rsid w:val="7C6543A4"/>
    <w:rsid w:val="7CBD32CC"/>
    <w:rsid w:val="7D3D4580"/>
    <w:rsid w:val="7D6C741B"/>
    <w:rsid w:val="7D914338"/>
    <w:rsid w:val="7DAA1297"/>
    <w:rsid w:val="7DB52379"/>
    <w:rsid w:val="7DC106FC"/>
    <w:rsid w:val="7DC130D3"/>
    <w:rsid w:val="7DD33FF7"/>
    <w:rsid w:val="7DE4698C"/>
    <w:rsid w:val="7DF96CE7"/>
    <w:rsid w:val="7EBE0D2D"/>
    <w:rsid w:val="7ECB2BD2"/>
    <w:rsid w:val="7EEC005A"/>
    <w:rsid w:val="7EFE392F"/>
    <w:rsid w:val="7F795BB0"/>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E10AAE"/>
  <w15:docId w15:val="{41E87DA1-49F8-4749-8D09-BC492D23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uiPriority w:val="99"/>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rPr>
  </w:style>
  <w:style w:type="character" w:styleId="ab">
    <w:name w:val="Hyperlink"/>
    <w:basedOn w:val="a0"/>
    <w:uiPriority w:val="99"/>
    <w:qFormat/>
    <w:rPr>
      <w:color w:val="0000FF"/>
      <w:u w:val="single"/>
    </w:rPr>
  </w:style>
  <w:style w:type="paragraph" w:customStyle="1" w:styleId="WPSOffice1">
    <w:name w:val="WPSOffice手动目录 1"/>
    <w:qFormat/>
    <w:rPr>
      <w:kern w:val="2"/>
      <w:sz w:val="21"/>
      <w:szCs w:val="22"/>
    </w:rPr>
  </w:style>
  <w:style w:type="paragraph" w:customStyle="1" w:styleId="WPSOffice2">
    <w:name w:val="WPSOffice手动目录 2"/>
    <w:qFormat/>
    <w:pPr>
      <w:ind w:leftChars="200" w:left="200"/>
    </w:pPr>
    <w:rPr>
      <w:kern w:val="2"/>
      <w:sz w:val="21"/>
      <w:szCs w:val="22"/>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10">
    <w:name w:val="样式1"/>
    <w:basedOn w:val="a"/>
    <w:next w:val="a"/>
    <w:qFormat/>
    <w:pPr>
      <w:keepNext/>
      <w:keepLines/>
      <w:spacing w:before="260" w:after="260" w:line="416" w:lineRule="auto"/>
      <w:outlineLvl w:val="1"/>
    </w:pPr>
    <w:rPr>
      <w:rFonts w:ascii="Cambria" w:hAnsi="Cambria" w:hint="eastAsia"/>
      <w:b/>
      <w:bCs/>
      <w:sz w:val="28"/>
      <w:szCs w:val="32"/>
    </w:rPr>
  </w:style>
  <w:style w:type="paragraph" w:customStyle="1" w:styleId="20">
    <w:name w:val="样式2"/>
    <w:basedOn w:val="a"/>
    <w:qFormat/>
    <w:pPr>
      <w:spacing w:beforeLines="50" w:before="50" w:line="360" w:lineRule="auto"/>
      <w:ind w:firstLineChars="200" w:firstLine="480"/>
    </w:pPr>
    <w:rPr>
      <w:rFonts w:ascii="宋体" w:eastAsia="宋体" w:hAnsi="宋体" w:cs="宋体" w:hint="eastAsia"/>
      <w:color w:val="000000" w:themeColor="text1"/>
      <w:sz w:val="24"/>
    </w:rPr>
  </w:style>
  <w:style w:type="paragraph" w:customStyle="1" w:styleId="ds-markdown-paragraph">
    <w:name w:val="ds-markdown-paragraph"/>
    <w:basedOn w:val="a"/>
    <w:qFormat/>
    <w:pPr>
      <w:widowControl/>
      <w:spacing w:before="100" w:beforeAutospacing="1" w:after="100" w:afterAutospacing="1"/>
      <w:jc w:val="left"/>
    </w:pPr>
    <w:rPr>
      <w:rFonts w:ascii="宋体" w:eastAsia="宋体" w:hAnsi="宋体" w:cs="宋体"/>
      <w:kern w:val="0"/>
      <w:sz w:val="24"/>
    </w:rPr>
  </w:style>
  <w:style w:type="character" w:customStyle="1" w:styleId="a6">
    <w:name w:val="页脚 字符"/>
    <w:basedOn w:val="a0"/>
    <w:link w:val="a5"/>
    <w:uiPriority w:val="99"/>
    <w:rsid w:val="00963389"/>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hyperlink" Target="http://www.100ec.cn/Index/dsb_product.html"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file:///D:\backup\&#25253;&#21578;&#31867;\315.100EC.C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315.100ec.cn/" TargetMode="External"/><Relationship Id="rId29" Type="http://schemas.openxmlformats.org/officeDocument/2006/relationships/hyperlink" Target="http://www.100ec.cn/Index/complaintDat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ow.s.315.100ec.cn/" TargetMode="External"/><Relationship Id="rId23" Type="http://schemas.openxmlformats.org/officeDocument/2006/relationships/image" Target="media/image8.png"/><Relationship Id="rId28" Type="http://schemas.openxmlformats.org/officeDocument/2006/relationships/hyperlink" Target="http://show.s.315.100ec.cn/" TargetMode="External"/><Relationship Id="rId36" Type="http://schemas.openxmlformats.org/officeDocument/2006/relationships/hyperlink" Target="http://www.100ec.cn/zt/df/"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ow.s.315.100ec.cn/" TargetMode="External"/><Relationship Id="rId22" Type="http://schemas.openxmlformats.org/officeDocument/2006/relationships/image" Target="media/image7.png"/><Relationship Id="rId27" Type="http://schemas.openxmlformats.org/officeDocument/2006/relationships/hyperlink" Target="http://www.100ec.cn/zt/bgk/"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how.s.315.100ec.cn/" TargetMode="External"/><Relationship Id="rId17" Type="http://schemas.openxmlformats.org/officeDocument/2006/relationships/hyperlink" Target="http://www.100ec.cn/zt/anlk/" TargetMode="External"/><Relationship Id="rId25" Type="http://schemas.openxmlformats.org/officeDocument/2006/relationships/image" Target="media/image10.png"/><Relationship Id="rId33" Type="http://schemas.openxmlformats.org/officeDocument/2006/relationships/hyperlink" Target="http://www.100ec.cn/Index/complaintData.html"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file:///D:\backup\&#25253;&#21578;&#31867;\DATA.100EC.C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F4EBE9B-D69B-468D-B411-A1FA788D7D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纷繁多彩.wpt</Template>
  <TotalTime>10</TotalTime>
  <Pages>27</Pages>
  <Words>1973</Words>
  <Characters>11250</Characters>
  <Application>Microsoft Office Word</Application>
  <DocSecurity>0</DocSecurity>
  <Lines>93</Lines>
  <Paragraphs>26</Paragraphs>
  <ScaleCrop>false</ScaleCrop>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无痕 夏</cp:lastModifiedBy>
  <cp:revision>17</cp:revision>
  <dcterms:created xsi:type="dcterms:W3CDTF">2025-05-07T11:27:00Z</dcterms:created>
  <dcterms:modified xsi:type="dcterms:W3CDTF">2025-07-02T12:32:00Z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eyJoZGlkIjoiYzRmOTZhNzkzOWZhODQwZDdmMTBlMDkyNGY0NTg1YjMiLCJ1c2VySWQiOiIxMzg3ODM4MTA0In0=</vt:lpwstr>
  </property>
  <property fmtid="{D5CDD505-2E9C-101B-9397-08002B2CF9AE}" pid="4" name="ICV">
    <vt:lpwstr>3C2FFCC18FF043A490BC8BDB35CA817B_13</vt:lpwstr>
  </property>
</Properties>
</file>